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25 de enero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6090-2019, promovido por Euroinversiones Inmobiliarias Costa Sur, S.L., representada por la procuradora de los tribunales doña Blanca Berriatua Horta y bajo la dirección del letrado don Marcelino Gilabert García, contra los autos de 21 de septiembre de 2018 y de 10 de septiembre de 2019, dictados por el Juzgado de Primera Instancia e Instrucción núm. 5 de Lorca, en el procedimiento de ejecución hipotecaria núm. 385-2018, por los que, respectivamente, se inadmite por extemporánea la demanda de oposición formulada y se confirma esta última decisión, tras desestimarse el recurso de reposición interpuesto frente a ella. Ha intervenido el Ministerio Fiscal. Ha sido ponente el magistrado don Santiago Martínez-Vares García.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25 de octubre de 2019, la entidad Euroinversiones Inmobiliarias Costa Sur, S.L., representada por la procuradora de los tribunales doña Blanca Berriatua Horta y bajo la dirección del letrado don Marcelino Gilabert García, interpuso recurso de amparo contra las resoluciones referidas en el encabezamiento. La presentación de dicho escrito dio lugar al recurso de amparo núm. 6090-2019, cuyo conocimiento correspondió a la Sección Segunda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relevantes para resolver la pretensión planteada, según se recogen en la demanda y en la documentación aportada,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Juzgado de Primera Instancia e Instrucción núm. 5 de Lorca se sigue procedimiento de ejecución hipotecaria núm. 385-2018 promovido por la entidad Banco de Sabadell, S.A., frente a las sociedades Euroinversiones Inmobiliarias Costa Sur, S.L., en calidad de prestataria e hipotecante, y Penrei Inversiones, S.L., en calidad de titular registral de un derecho de uso y disfrute sobre el inmueble hipotecado, la finca registral 43.361 del Registro de la Propiedad núm. 3 de Lorca.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7 de junio de 2018 se acordó despachar ejecución frente las sociedades demandadas por la cantidad de 8199,12 € de principal y 4510 € como intereses y costas presupuestados. El servicio de notificaciones de la Fábrica Nacional de Moneda y Timbre remitió a la demandante de amparo, a través de la dirección electrónica habilitada, un aviso de notificación del citado auto que le fue comunicado por dicho medio el 13 de junio de 2018. En dicha comunicación se informa que la notificación estará disponible hasta el 29 de julio del mismo año, accediendo la recurrente de amparo efectivamente a la página web y a la notificación dentro del plazo en que la misma se encontraba disponible.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representación legal de Euroinversiones Inmobiliarias Costa Sur, S.L., presentó escrito de oposición a la ejecución despachada con fecha 25 de julio de 2018. Por auto de 21 de septiembre de 2018 se acordó su inadmisión por considerar la pretensión extemporánea, tomando como fecha de notificación el 13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sociedad mercantil recurrente interpuso recurso de reposición contra el auto de inadmisión alegando, en síntesis, que las actuaciones de notificación y requerimiento no habían sido realizadas el día 13 de junio de 2018, sino en la fecha en que accedió a la web y procedió a su descarga, y que la comunicación remitida a través de la dirección electrónica habilitada no puede entenderse más que un aviso de puesta a disposición o descarga de su contenido durante un plazo determinado (en el caso desde el 13 de junio hasta el 29 de julio de 2018), pues entenderlo de otro modo, además de infringir los arts. 135, 152, 160, 162 de la Ley de enjuiciamiento civil (LEC), vulnera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Tras su tramitación, el recurso de reposición fue desestimado por auto de 10 de septiembre de 2019. Según esta resolución, la recurrente tiene la condición de persona jurídica y, por tanto, está obligada a relacionarse con la administración de justicia por medios electrónicos, de conformidad con lo previsto en la disposición transitoria cuarta de la Ley 42/2015, de 5 de octubre, de reforma de la Ley 1/2000, de 7 de enero, de enjuiciamiento civil, así como en los arts. 14.2 de la Ley 39/2015, de 1 de octubre, del procedimiento administrativo común de las administraciones públicas (LPACAP) y 373.3 LEC. Según el auto, en el presente caso “consta que la notificación se puso a disposición de las recurrentes en fecha 13/06/2018, no accediendo al contenido hasta el día 24/07/2018 (fuera de los tres días que establece la normativa procesal), presentando los escritos de oposición a la ejecución en fecha 25/07/2018, claramente fuera del plazo legalmente establecido en el art. 556.1 LEC (dentro de los diez días siguientes al de la notificación del auto despachando ejecución) y siendo que, conforme al art. 136 LEC, transcurrido o pasado el término señalado para la realización de un acto procesal de parte se producirá la preclusión y se perderá la oportunidad de realizar el acto de que se trate, es claro que dichas oposiciones son extemporáneas siendo la consecuencia legal la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se queja en su recurso de la vulneración de su derecho a la tutela judicial efectiva sin indefensión (art. 24.1 CE) en su vertiente de acceso al proceso. Considera que con la interpretación ofrecida en el auto objeto de impugnación, el juzgado “no ha dado cumplimiento a las exigencias constitucionales reconocidas para los actos de notificación procesal, donde los órganos judiciales no han de limitarse al formal cumplimiento de los requisitos legales, sino que para asegurar la efectividad del derecho fundamental, la interpretación de las normas reguladoras del emplazamiento debe hacerse tratando de asegurar que el acto de comunicación cumple su finalidad constitucional, es decir, la efectividad real del emplazamiento, pues el artículo 24.1 de la Constitución Española contiene un mandato no sólo dirigido al legislador, sino también al intérprete, obligándole a promover la defensa mediante la correspondiente contradicción, tal y como reconoce la Sentencia 37/1984 del Tribunal Constitucional”. Justifica la especial trascendencia constitucional aludiendo a la novedosa implantación de procesos de notificación por medios electrónicos en el ámbito de la jurisdicción civil en relación con las exigencias procesales derivadas de la regulación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solicita por medio de segundo otrosí la suspensión de la continuación del procedimiento de ejecución hipotecaria alegando que “con la celebración de subasta y la eventual adjudicación a terceros, pueden hacer perder al recurso de amparo su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15 de junio de 2020 la Sección Segunda de este tribunal acordó no admitir a trámite el recurso de amparo por no apreciar en el mismo la especial trascendencia constitucional que, como condición para su admisión, requiere el art. 50.1.b) de la Ley Orgánica del Tribunal Constitucional (STC 155/2009, de 25 de junio, FJ 2). Dicha providencia se dejó sin efecto en virtud del auto de 18 de septiembre de 2020 que estimó el recurso de súplica interpuesto contra la misma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21 de septiembre de 2020 la Sección Segunda de este tribunal acordó admitir a trámite el recurso de amparo apreciando que concurre en el mismo una especial trascendencia constitucional (art. 50.1 de la Ley Orgánica del Tribunal Constitucional: LOTC) “toda vez que el recurso puede dar ocasión al tribunal para aclarar o cambiar su doctrina, como consecuencia de cambios normativos relevantes para la configuración del contenido del derecho fundamental [STC 155/2009, FJ 2 b)]”. De conformidad con lo dispuesto en el art. 51 LOTC, se acordó dirigir comunicación al Juzgado de Primera Instancia e Instrucción núm. 5 de Lorca, a fin de que, en el plazo de diez días, remitiera certificación o fotocopia adverada de las actuaciones correspondientes a los autos de ejecución hipotecaria núm. 385-2018 y emplazara a quienes hubieran sido parte en el proceso del que trae causa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entidad demandante de amparo presentó sus alegaciones el 30 de diciembre de 2020, indicando que el día 28 de diciembre de 2020, en el plazo concedido presentó también escrito al que no se adjuntó el escrito de alegaciones por lo que solicitó que se le tenga por subsanado el error. En las alegaciones presentadas se remite a lo expuesto en su recurso y hace mención adicional a los pronunciamientos de la STC 40/2020, de 27 de febrero, a propósito del uso indebido de la dirección electrónica habilitada para realizar el primer emplazamiento del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este Tribunal Constitucional, mediante escrito registrado el 4 de enero de 2021, presentó sus alegaciones interesando la estimación del recurso de amparo. Tras exponer la jurisprudencia del Tribunal Constitucional sobre los actos de comunicación procesal, con expresa referencia a las SSTC 40/2020, de 27 de febrero, y 43/2020, de 9 de marzo, solicita que se declare vulnerado el derecho a la tutela judicial efectiva sin indefensión de la demandante y la nulidad de todo lo actuado desde la notificación electrónica del auto que despachó la ejecución solicitada, con retroacción de las actuaciones al momento inmediatamente anterior a dicha notificación “para que se le dé al recurrente posibilidad de formular oposición 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fecha 21 de enero de 2021,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El presente recurso de amparo tiene por objeto la impugnación de los autos de 10 de septiembre de 2018 y de 21 de septiembre de 2019, dictados por el Juzgado de Primera Instancia e Instrucción núm. 5 de Lorca, en el procedimiento de ejecución hipotecaria núm. 385-2018. Según la entidad mercantil demandante de amparo, una interpretación irrazonable de la legislación procesal le habría privado injustamente de su derecho a formular oposición a la ejecución hipotecaria. Tratándose de un primer emplazamiento, el requerimiento de pago y alternativo derecho a oponerse a la demanda ejecutiva debió realizarse de manera personal en su domicilio social con entrega en papel de la documentación, y no mediante el servicio de notificaciones electrónicas y de dirección electrónica habilitada de la Fábrica Nacional de Moneda y Timbre. El órgano judicial habría incumplido su obligación de asegurar, no ya la legalidad formal de los actos de comunicación, sino el cumplimiento efectivo de su finalidad constitucional. Todo ello constituiría una vulneración del derecho fundamental de la demandante de amparo a la tutela judicial efectiva sin indefensión (art. 24 CE). Solicita, en consecuencia, la anulación de las resoluciones indicadas, así como la retroacción al momento procesal oportuno, previo al dictado del auto de 10 de septiembre de 2019, a fin de que el juzgado admita a trámite su oposición al despacho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solicitó la estimación de la demanda de amparo y la nulidad de todo lo actuado desde la notificación electrónica del auto de despacho de la ejecución con retroacción de las actuaciones al momento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40/2020, de 27 de febrero, del Pleno del tribunal, estimó un recurso de amparo basado en los mismos motivos, interpuesto por la misma entidad mercantil y dirigido contra autos de contenido muy similar de otro juzgado de Lorca. Corresponde, en consecuencia, dar por reproducidos los fundamentos jurídicos de aquella sentencia y declarar por ello que los autos de 10 de septiembre de 2018 y de 21 de septiembre de 2019, dictados por el Juzgado de Primera Instancia e Instrucción núm. 5 de Lorca, han vulnerado el derecho a la tutela judicial efectiva de la recurrente en amparo (art. 24.1 CE). Como en aquel caso, la estimación del amparo trae consigo la nulidad de los autos recurridos, así como de todo lo actuado en el procedimiento hipotecario a quo desde el momento en que se proveyó al emplazamiento de la entidad mercantil solicitante de amparo a través de la dirección electrónica habilitada.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mercantil Euroinversiones Inmobiliarias Costa Sur, S.L.,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recurrente en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 los autos de 10 de septiembre de 2018 y de 21 de septiembre de 2019, dictados por el Juzgado de Primera Instancia e Instrucción núm. 5 de Lorca, en el proceso de ejecución hipotecaria núm. 385-2018, así como la nulidad de las actuaciones realizadas a partir del emplazamiento de la entidad recurrente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efectuarse el emplazamiento de la demandada, debiendo llevarse a cabo de nuevo este último por el referido juzgado de forma que resulte respetuoso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enero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