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6091-2019, promovido por Penrei Inversiones, S.L., representada por la procuradora de los tribunales doña Blanca Berriatua Horta y bajo la dirección de la letrada doña Anju Nirmala Benavent Rodriguez, contra los autos de 10 de septiembre de 2018 y de 21 de septiembre de 2019, dictados por el Juzgado de Primera Instancia e Instrucción núm. 5 de Lorca, en el procedimiento de ejecución hipotecaria núm. 385-2018, por los que, respectivamente, se inadmite por extemporánea la demanda de oposición formulada y se confirma esta última decisión, tras desestimarse el recurso de reposición interpuesto frente a ella. Ha intervenido el Ministerio Fiscal. Ha comparecido la entidad Pera Assets Designated Activity Company, actuando como sucesora procesal del banco ejecutante.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octubre de 2019, la entidad Penrei Inversiones, S.L., representada por la procuradora de los tribunales doña Blanca Berriatua Horta y bajo la dirección de la letrada doña Anju Nirmala Benavent Rodríguez, interpuso recurso de amparo contra las resoluciones referidas en el encabezamiento. La presentación de dicho escrito dio lugar al recurso de amparo núm. 6091-2019, cuyo conocimiento correspondió a la Sección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385-2018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43.361 del Registro de la Propiedad núm. 3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7 de junio de 2018 se acordó despachar ejecución frente las sociedades demandadas por la cantidad de 8199,12 € de principal y 4510 €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13 de junio de 2018. En dicha comunicación se informa que la notificación estará disponible hasta el 29 de julio del mismo año, accediendo la recurrente de amparo efectivamente a la página web y a la notificación dentro del plazo en que la misma se encontraba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25 de julio de 2018. Por auto de 21 de septiembre de 2018 se acordó su inadmisión por considerar la pretensión extemporánea, tomando como fecha de notificación el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13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13 de junio hasta el 29 de julio de 2018), pues entenderlo de otro modo, además de infringir los arts. 135, 152, 160,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de reposición fue desestimado por auto de 10 de septiembre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de 1 de octubre, del procedimiento administrativo común de las administraciones públicas (LPACAP) y 373.3 LEC. Según el auto, en el presente caso “consta que la notificación se puso a disposición de las recurrentes en fecha 13/06/2018, no accediendo al contenido hasta el día 24/07/2018 (fuera de los tres días que establece la normativa procesal), presentando los escritos de oposición a la ejecución en fecha 25/07/2018,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2020 la Sección Segunda de este tribunal acordó no admitir a trámite el recurso de amparo por no apreciar en el mismo la especial trascendencia constitucional que, como condición para su admisión, requiere el art. 50.1.b) de la Ley Orgánica del Tribunal Constitucional (STC 155/2009, de 25 de junio, FJ 2). Dicha providencia se dejó sin efecto en virtud del auto de 18 de septiembre de 2020 que estimó el recurso de súplica interpuesto contra la misma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septiembre de 2020 la Sección Segunda de este tribunal acordó admitir a trámite el recurso de amparo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De conformidad con lo dispuesto en el art. 51 LOTC, se acordó dirigir comunicación al Juzgado de Primera Instancia e Instrucción núm. 5 de Lorca, a fin de que, en el plazo de diez días, remitiera certificación o fotocopia adverada de las actuaciones correspondientes a los autos de ejecución hipotecaria núm. 385-2018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17 de noviembre de 2020, la procuradora de los tribunales doña María Claudia Munteanu, actuando en nombre y representación de la entidad Pera Assets Designated Activity Company, solicitó se tuviera a esta última como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noviembre de 2020, la secretaría de justicia de la Sala Primera de este tribunal dictó diligencia de ordenación por la que acordó tener por personada y parte en nombre y representación de Pera Assets Designated Activity Company a la procuradora doña María Claudia Munteanu y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de amparo presentó sus alegaciones el 28 de diciembre de 2020, en las que se remite a lo expuesto en su recurso y hace mención adicional a los pronunciamientos de la STC 40/2020, de 27 de febrero, a propósito del uso indebido de la dirección electrónica habilitada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mediante escrito registrado el 4 de enero de 2021, presentó sus alegaciones interesando la estimación del recurso de amparo. Tras exponer la jurisprudencia del Tribunal Constitucional sobre los actos de comunicación procesal, con expresa referencia a las SSTC 40/2020, de 27 de febrero, y 43/2020, de 9 de marzo, solicita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10 de septiembre de 2018 y de 21 de septiembre de 2019, dictados por el Juzgado de Primera Instancia e Instrucción núm. 5 de Lorca, en el procedimiento de ejecución hipotecaria núm. 385-2018.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10 de septiembre de 2019,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solicitó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del Pleno del Tribunal, estimó un recurso de amparo basado en los mismos motivos, interpuesto por la misma entidad mercantil y dirigido contra autos de contenido muy similar de otro juzgado de Lorca. Corresponde, en consecuencia, dar por reproducidos los fundamentos jurídicos de aquella sentencia y declarar por ello que los autos de 10 de septiembre de 2018 y de 21 de septiembre de 2019, dictados por el Juzgado de Primera Instancia e Instrucción núm. 5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Penrei Inversiones,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10 de septiembre de 2018 y de 21 de septiembre de 2019, dictados por el Juzgado de Primera Instancia e Instrucción núm. 5 de Lorca, en el proceso de ejecución hipotecaria núm. 385-2018,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referido juzgado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