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1343-2018, promovido a instancia de doña Joaquina Cortés Cortés, representada por el procurador de los tribunales don Antonio Luis Roncero Contreras y asistida por el letrado don Juan Pablo Mola García Galán, contra la sentencia núm. 58/2018, de fecha 25 de enero, dictada por el Pleno de la Sala de lo Social del Tribunal Supremo en el recurso de casación para la unificación de doctrina núm. 2401-2016, que revocó la sentencia dictada por el Tribunal Superior de Justicia de Andalucía (Granada), de 20 de abril de 2016, en recurso de suplicación núm. 2843-2015, a su vez revocatoria de la de 13 de octubre de 2015 del Juzgado de lo Social núm. 4 de Jaén en autos núm. 679-2014, en materia de seguridad social. Ha comparecido el Instituto Nacional de la Seguridad Social (INSS), representado por la letrada de la administración de la Seguridad Social.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13 de marzo de 2018 tuvo entrada en este tribunal la demanda de amparo presentada por el procurador de los tribunales don Antonio Luis Roncero Contreras, en nombre y representación de doña Joaquina Cortés Cortés, contra la sentencia núm. 58/2018, de fecha 25 de enero de 2018, dictada por el Pleno de la Sala de lo Social del Tribunal Supremo en el recurso de casación para unificación de doctrina núm. 2401-2016, por posible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esencia,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14 de noviembre de 2014, la demandante de amparo interpuso demanda contra el Instituto Nacional de la Seguridad Social (en adelante, INSS), solicitando el reconocimiento de su derecho a la pensión de viudedad, que el INSS le había denegado tras el fallecimiento de la persona que con ella convivía.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lo Social núm. 4 de Jaén dictó sentencia desestimatoria el 13 de octubre de 2015. Considera probado que: (i) por resolución del INSS de 12 de septiembre de 2014, se deniega la pensión de viudedad pretendida por la recurrente en amparo, por no haberse constituido formalmente el vínculo como pareja de hecho con el causante al menos dos años antes del fallecimiento, de acuerdo a lo dispuesto por el art.174.3 de la Ley general de la Seguridad Social (LGSS); (ii) el día 18 de mayo de 1994, la recurrente celebró con el fallecido matrimonio conforme a las usos y costumbres gitanos y convivió con él al menos durante los quince años anteriores al fallecimiento; (iii) no consta inscripción de la unión como pareja de hecho; (iv) fruto de su unión nacieron cinco hijos, apareciendo los padres en las respectivas inscripciones de nacimiento como solteros. Así, en uno de los casos, figuraba como observación en la inscripción del nacimiento que los padres lo reconocían “como hijo natural declarando formalmente y bajo su responsabilidad que al tiempo de la concepción del mismo tenían capacidad legal para contraer matrimonio con dispensa o sin ella”. En otra de las inscripciones se indicaba que el matrimonio de los padres no existía y que la hija inscrita era “hija extramatrimonial”; y, finalmente, en la inscripción de otra de las hijas se señalaba que el matrimonio no existía, pero que los padres declarantes “reconocen en este acto a la inscrita como hija suya”; (v) del mismo modo, en el libro de familia en el que la recurrente y el fallecido contaban figuraban como “solteros”.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este fallo, la resolución se apoya en la sentencia de 8 de diciembre de 2009 del Tribunal Europeo de Derechos Humanos, asunto Muñoz Díaz c. España, en la que se analiza la posible discriminación por la denegación del derecho a percibir pensión de viudedad basado en la pertenencia de la interesada a la etnia gitana.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juzgador que en aquella sentencia del Tribunal Europeo de Derechos Humanos fue decisivo que la convicción de la demandante de su condición de mujer casada con todos los efectos inherentes a este estado se viera reforzada por la actitud de las autoridades públicas, generándose una expectativa legítima a ser considerada como esposa del fallecido, por lo que la denegación del reconocimiento de la condición de cónyuge, al objeto de obtener una pensión de viudedad, se contradecía con la aceptación y declaración previas de dicha condición por parte de la administración. Para el órgano judicial, en aquel caso, la negativa al reconocimiento del derecho de aquella demandante a percibir una pensión de viudedad, constituía una diferencia de trato en relación con el ofrecido por la ley u otorgado por la jurisprudencia en otras situaciones equivalentes en cuanto al parámetro de la buena fe, como aquellos en los que existe un convencimiento de la existencia de un matrimonio nulo o como el de la situación examinada en la STC 199/2004, de 15 noviembre, que concernía a la no formalización, por razones de conciencia, de un matrimonio canónico.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esa doctrina, concluye el órgano judicial que en esta ocasión no puede apreciarse buena fe, “en cuanto a la validez y eficacia del matrimonio que esta contrajo por el rito gitano, pues las autoridades españolas nunca reconocieron ni la validez, ni la apariencia de validez de ese matrimonio, pues en la documental aportada, tanto la actora como el padre de sus hijos aparecen como solteros y todos los hijos como nacidos fuera del matrimonio; así consta en el hecho probado sexto. Su situación, por tanto, es muy diferente a la que fue analizada por el Tribunal Europeo de Derechos Humanos en el asunto Muñoz Díaz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en relación con la pretensión subsidiaria de la pensión por su acreditada convivencia more uxorio con el causante, la sentencia razona que, en el caso de las parejas de hecho, tras la reforma llevada a cabo por la Ley 40/2007, para causar derecho a percibir la pensión de viudedad es requisito constitutivo la inscripción de la pareja en la forma establecida en el art. 174.3 LGSS, requisito que no fue satisfecho por la demandante. Entiende el juzgador que, si bien la aspiración de esa norma es la de adaptar la legislación sobre Seguridad Social a las nuevas realidades familiares, ello no significa que se extienda la pensión de viudedad de forma incondicionada, ni que establezca un régimen de reconocimiento análogo al correspondiente a los supuestos de matrimonio. Antes bien, del texto legal se infiere sin dificultad que el legislador distingue claramente dos situaciones. A saber: de un lado, las uniones de hecho objeto de protección y, de otro, las características de la convivencia requerida para lucrarla. Dos requisitos que tienen carácter dispar, cumplen funciones diversas y operan en distintos planos jurídicos (ámbito subjetivo de la protección, por un lado, y requisitos de acceso a la prestación, por otro), de suerte que cabe distinguir entre la prueba de la convivencia —que ha de ser estable, ininterrumpida y con duración no inferior a cinco años— y la prueba de la existencia de una unión que pueda considerarse pareja de hecho a los exclusivos efectos del reconocimiento de la pensión, sin que en esto último baste acreditar aquella convivencia, porque se exige también que la pareja haya accedido a los registros públicos indicados en la norma o se haya constituido mediante documento público, lo que en esta ocasión, termina la sentencia, no se cumple. Por todo ello, se desestima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suplicación, la Sala de lo Social del Tribunal Superior de Justicia de Andalucía (Granada) dictó sentencia con fecha de 20 de abril de 2016, revocando la de instancia y reconociendo el derecho de la demandante de amparo a la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aunque en el libro de familia figuren como solteros la actora y el causante, tal dato no resulta suficiente para desvirtuar su buena fe respecto a la validez y eficacia de su matrimonio contraído bajo el rito gitano, ya que en la inscripción de nacimiento de los hijos, el progenitor que la solicitaba realizó su reconocimiento de filiación como hijos naturales, al no estar inscrito previamente el matrimonio civil o canónico, efectuando la inscripción un funcionario encargado del registro y existiendo libro de familia, lo que evidenciaría una clara intención frente a los organismos públicos de ser entendidos como una unión. Una pareja que, por lo demás, convivió como matrimonio al menos durante los últimos quince años y que celebró su unión conyugal en el seno de una realidad social y cultural muy distinta a la actual, cuando la actora no contaba siquiera con la edad de quince años, teniendo, además, cinco hijos en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el órgano judicial entiende que no es posible apreciar que dolosamente se fingieran como matrimonio en su entorno familiar y social durante tanto tiempo con la finalidad de tener derecho en el futuro a cobrar una pensión, por lo que denegarla supondría una discriminación por razones étnicas y culturales. En consecuencia, estima el recurso y revoca la resolución de instancia, declarando el derecho de la actora a percibir la pensión de viudedad en la cuantía legal y desde la fecha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INSS y la Tesorería General de la Seguridad Social (en adelante, TGSS) formalizaron recurso de casación para la unificación de doctrina. El Pleno de la Sala de lo Social del Tribunal Supremo con fecha de 25 de enero de 2018, dictó sentencia anulando la resolución recurrida y, consiguientemente, desestimando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Tribunal Supremo que la norma de cuya interpretación se trata, el art. 174.3 LGSS, no ofrece la claridad que es siempre deseable en cualquier disposición legal, pero ese innegable defecto de técnica legislativa no obsta que los términos en que se expresa muestren la voluntad del legislador de establecer una prueba tasada sobre la constitución de la pareja estable, dotándola de la fehaciencia que ofrece la inscripción en el registro específico o el otorgamiento de escritura pública. Advierte que, frente a los cauces legales previstos, el libro de familia es un documento público que acredita el matrimonio y la filiación (matrimonial, no matrimonial o adoptiva), pero no la existencia de pareja de hecho. Y, siendo así, y no habiéndose cumplido en el caso de autos los requisitos legales, no cabe alcanzar conclusión distinta a la de la instancia, así como tampoco con base en la STEDH de 8 de diciembre de 2009, pues contempla un supuesto anterior a la promulgación de la Ley 40/2007, que además tuvo como presupuesto la buena fe de la demandante y su legítima confianza en los plenos efectos del “matrimonio gitano”, especialmente por el reconocimiento de la unión conyugal que hizo la administración en determinados documentos oficiales, lo que, sin embargo, no acontece en el supuesto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partiendo de que el Tribunal Europeo de Derechos Humanos no atribuyó eficacia jurídica alguna al “matrimonio gitano”, sino a la expectativa generada y a la comprensible buena fe que se advertía, que era en definitiva lo que justificaba otorgar el mismo trato favorable dado por el ordenamiento jurídico a supuestos similares, en el presente caso debe aplicarse la doctrina contenida en la STC 69/2007, de 16 de abril, según la cual el art. 14 CE no alcanza a dar cobertura a la llamada discriminación por indiferenciación, al no consagrar ese derecho fundamental un derecho subjetivo al trato normativo desigual.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la Sala, la pertenencia a una minoría étnica, según aquella sentencia del Tribunal Europeo de Derechos Humanos, no sería lo decisivo en la aplicación o interpretación de la norma, sino la concurrencia o no de buena fe. Y el supuesto enjuiciado resulta bien diverso al de aquel pronunciamiento, aunque medien coincidencia en el colectivo afectado e identidad en la prestación solicitada, “pues lo aducido no es —ni podría serlo— buena fe en la creencia de eficaz vínculo matrimonial a los efectos del derecho español, porque en la documentación oficial —Libro de Familia e inscripciones de nacimiento— se hace constar expresamente su cualidad de solteros e hijos extramatrimoniales. Es más, tan siquiera se reclama el derecho por el mismo título que en el supuesto enjuiciado por el Tribunal Europeo, siendo así que en aquel caso se invocaba —no podía ser de otra manera, dado que el fallecimiento había sido anterior a la Ley 40/2007— la existencia de matrimonio, y en el proceso ahora enjuiciado el título que se invoca es el de pareja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añade a renglón seguido que: (i) la respetabilidad atribuible a la unión por el rito gitano no justifica hacer una equiparación a la inscripción registral o documentación pública de la pareja de hecho, de naturaleza constitutiva; (ii) la regulación contenida en el art. 174.3 LGSS de 1994 es neutral desde la perspectiva racial, al carecer por completo de cualquier tipo de connotación étnica; (iii) el art. 14 CE no consagra un derecho subjetivo al trato normativo desigual; (iv) admitir la solución pretendida por la demandante comportaría hacer de peor condición a quienes por razones ideológicas, tan respetables como las culturales, no se han constituido como pareja de hecho en la forma legalmente prescrita y a los que, no infrecuentemente, les ha sido también denegada la prestación de viudedad; (v) la vulnerabilidad de las múltiples minorías étnicas y culturales existentes no puede conllevar excepcionar la aplicación de la ley en los múltiples aspectos en que pudiera reflejarse su diversidad étnico/cultural so pena de comprometer gravemente la seguridad jurídica y la uniformidad normativa, como evidencia la propia doctrina del Tribunal Europeo de Derechos Humanos en el asunto Muñoz Díaz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Tribunal Supremo revoca la sentencia recurrida y desestima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resaltar que esta sentencia cuenta con un voto particular discrepante, en el que las magistradas que lo emiten subrayan la ausencia de analogía entre el supuesto sometido a la valoración del Tribunal Supremo y el resuelto por el Tribunal Europeo de Derechos Humanos en el asunto Muñoz Díaz c. España. Así, en primer lugar, destacan que en este último supuesto se partía del reconocimiento por las autoridades españolas de la relación existente entre la demandante y el fallecido y, sin embargo, en el caso de doña Joaquina Cortés ello no ha sucedido. Por consiguiente, el asunto se ciñe a resolver la posibilidad de acceso a la pensión de viudedad como pareja de hecho de quien ha estado unida al causante en virtud de un rito matrimonial gitano y a la interpretación que debe hacerse de lo dispuesto en el art. 174.3 LGSS aplicable al caso. Es más, dado que en este caso no se suscita duda sobre la concurrencia del requisito de la convivencia, hay que ceñir el problema al análisis de la falta de inscripción de la pareja en alguno de los registros establecidos al efecto o a la constancia de su constitución en documento público. Y es en este punto donde, en opinión de las magistradas discrepantes, conviene preguntarse si, pese a la neutralidad de la regla del art. 174.3 LGSS, el colectivo de raza gitana puede verse particularmente afectado debido a las características de sus tradiciones, de suerte que pueda identificarse una discriminación indirecta. Concluyen que exigirles su acreditación como pareja en la forma legalmente admitida, es una medida redundante e innecesaria, porque la especial realidad fáctica de este grupo étnico ofrece mayores garantías que esa situación de pareja existe mientras perdura la convivencia, superando el test de satisfacción de la finalidad buscada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se expone en el voto particular, aunque no cabe inaplicar la norma al colectivo gitano, una interpretación conforme al respeto a las minorías étnicas, sí permite flexibilizar su interpretación cuando se den las circunstancias que permitan afirmar que el mantenimiento de la convivencia ha sido real, efectivo y con indiscutible carácter de pareja unida maritalmente.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sentencia indicada en el encabezamiento de esta resolución, dictada por el Pleno de la Sala de lo Social del Tribunal Supremo, por entender que vulnera el derecho a no sufrir discriminación racial/étnica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actora, partiendo de la reiteradamente citada STEDH de 8 de diciembre de 2009, asunto Muñoz Díaz c. España, defiende que se ha producido una vulneración del derecho a la igualdad y no discriminación, pues ambos miembros del matrimonio, contraído por el rito gitano, actuaron con buena fe y con la creencia de la plena validez de su matrimonio así contraído. Denegarle la pensión de viudedad, a pesar de la convicción de la recurrente en cuanto a su condición de mujer casada con todos los efectos inherentes a este estado, supone sustraerle un derecho que, sin embargo, ha sido tutelado por este tribunal en situaciones equiparables (así por ejemplo, en la STC 199/2004,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prosigue, si no se estimase concurrente el derecho de percepción de la pensión con base en el matrimonio de referencia, existiría en todo caso el mismo derecho al haberse acreditado una convivencia more uxorio con el fallecido, consolidada a lo largo de los años, de forma pública, creándose así, en suma, una comunidad de vida amplia, de intereses y fines, en el núcleo del mismo hogar y por un periodo superior a los diez años, tal como consta reflejado en documentos obrantes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respecto a esta pretensión subsidiaria, subraya la recurrente que, como se dijera en el voto particular formulado a la sentencia recurrida, se ha incurrido en una discriminación de carácter indirecto. Esto es, que la neutralidad de la regla legal sobre la constitución de parejas de hecho, como presupuesto del acceso a la pensión, puede afectar particularmente al colectivo gitano, debido a las particulares características de sus tradiciones. Incide en que no debe olvidarse que el propio Tribunal Europeo de Derechos Humanos ha señalado que, como resultado de su historia turbulenta y de su constante desarraigo, los gitanos se han convertido en una minoría especialmente desfavorecida y vulnerable, y que, por lo tanto, necesitan de una protección especial, prestando singular atención a sus necesidades y a su estilo de vida diferente, tanto en el marco normativo pertinente, como en las decisiones de los casos concretos (SSTEDH de 27 mayo 2004, asunto Connors c. Reino Unido, y de 9 enero 2013, asunto Horváth y Kiss c. Hungría).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del voto particular emitido en la sentencia del Tribunal Supremo al que ya se ha hecho referencia, subraya que, dado el fuerte arraigo de sus tradiciones y la sólida estructura de la comunidad gitana, intensamente ligada a la familia y al parentesco, no debe hacerse caso omiso al hecho de que, a partir de la unión de la pareja mediante el rito propio de su cultura y acreditada indubitadamente la convivencia permanente desde ese momento hasta el fallecimiento del causante, es obvio que los convivientes gitanos mantienen la convicción de que su relación de pareja se desarrolla como la de cualquier otro matrimonio, con independencia de la ineficacia jurídica de aquel rito. De este modo, la buena fe, considerada por el Tribunal Europeo de Derechos Humanos en la sentencia de 8 de diciembre de 2009, debería ser también ahora apreciada, sin exigir que la existencia de la pareja de hecho se acredite mediante su inscripción en el registro pertinente. Ese elemento resultaría, a su juicio, redundante e innecesario, en la medida en que para la pareja gitana la aceptación de la llamada “ley gitana” les convierte, a su entender y al del resto de la comunidad en la que desarrollan su vida, en una unidad matrimonial no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demandante de amparo concluye en los mismos términos que el voto particular de la sentencia impugnada. Esto es, que, mientras que la regla del art. 174.3 LGSS tiende a constatar la verdadera existencia de la pareja de hecho, la especial realidad fáctica de este grupo étnico ofrece garantías de que esa situación de pareja existe, en tanto que perdura la convivencia entre sus dos componentes, superándose con ello el test necesario de satisfacción de la finalidad a la que se orienta aquella norma que regula la formalización de las uniones de hecho. Cuando menos, afirma, debería ser así estimado en los casos en que, como el de autos, se dan las circunstancias que permiten acreditar que el mantenimiento de la convivencia ha sido real, efectivo y con indiscutible vocación de pareja unida maritalmente.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ello, solicita la declaración de nulidad de la sentencia de 25 de enero de 2018, dictada por el Pleno de la Sala de lo Social del Tribunal Supremo, al haber vulnerado el art. 14 CE, declarando, en consecuencia, su derecho a percibir la prestación por viudedad que le ha sido denegada.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la Sala Segunda de este Tribunal, de 14 de enero de 2019, se acordó admitir a trámite el recurso, apreciando que existe especial trascendencia constitucional (art. 50.1 de la Ley Orgánica del Tribunal Constitucional) porque puede dar ocasión al tribunal para aclarar o cambiar su doctrina, como consecuencia de un proceso de reflexión interna [STC 155/2009, FJ 2 b)]. Asimismo, se acordó recabar certificación o fotocopia adverada de las correspondientes actuaciones al Tribunal Supremo, al Tribunal Superior de Justicia de Andalucía (Granada) y al Juzgado de lo Social núm. 4 de Jaén, solicitando de este último que emplazara a los que fueron parte en el procedimiento del que trae origen este recurso, salvo a la parte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el día 5 de febrero de 2019 en el registro general de este tribunal, se personó en el recurso de amparo la letrada de la administración de la Seguridad Social, en nombre y representación del INSS, solicitando que se le tuviera por parte en el proceso constitucional y que se entendieran con ella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Cumplido lo ordenado en la providencia mencionada, en fecha 20 de febrero de 2019 se dictó diligencia de ordenación acordando tener por personada y parte en el procedimiento a la representación del INSS y, a tenor de lo dispuesto en el art. 52.1 LOTC, dar vista de todas las actuaciones al Ministerio Fiscal y a las partes personadas, por plazo común de veinte días, para que dentro de él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22 de marzo de 2019, la letrada de la administración de la Seguridad Social, en representación del INSS, presentó sus alegaciones, defendiendo que el recurso no podía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hacer referencia a la normativa rectora en materia de pensión de viudedad y a los argumentos que sostuvo el INSS en el proceso o las propias resoluciones judiciales en su fundamentación jurídica, aduce que: (i) los criterios del Tribunal Supremo en orden al deber de cumplimiento del requisito de inscripción de la pareja de hecho en el correspondiente registro han sido ratificados por el Tribunal Constitucional en varias sentencias (cita las SSTC 40/2014, de 11 de marzo; 45/2014, de 7 de abril, y 60/2014, de 5 de mayo), no resultando contraria al art. 14 CE la exigencia que prescriben, pues no carece de una finalidad constitucionalmente legitima en tanto que atiende a constatar, a través de un medio idóneo, necesario y proporcionado, el compromiso de convivencia entre las miembros de una pareja de hecho, permitiendo identificar así una concreta situación de necesidad merecedora de protección a través de la pensión de viudedad del sistema de Seguridad Social; (ii) la regulación contenida en el art. 174.3 LGSS-1994 resulta neutral desde la perspectiva racial; (iii) según la doctrina constitucional, el art. 14 CE no integra la prohibición de discriminación por indiferenciación, al no consagrar un derecho a la desigualdad de trato; (iv) como señala el Tribunal Supremo en la sentencia recurrida, admitir la solución pretendida por la demandante de amparo comportaría hacer de peor condición a quienes por razones ideológicas, no se han constituido como pareja de hecho en la forma legalmente prescrita; (v) incluso en la jurisprudencia del Tribunal Europeo de Derechos Humanos, se advierte que la ponderación de los intereses en juego no prevalece ni merece primacía sobre la aplicación de la norma, ya que de otro modo se comprometería gravemente la seguridad jurídica y la uniformidad en la aplicación de la ley, lo que sería contrario al art. 9.1 CE; (vi) nada ha impedido a la Sra. Cortés cumplir con los requisitos legalmente establecidos para acceder a la prestación solicitada, pues no existe en ellos vulneración de los principios de igualdad, libertad de pensamiento o de expresión, sino todo lo contrario, al garantizarse a su través, precisamente, el principio de legalidad y a un trato igual a todos los destinatarios de la norma; (vii) la sentencia recurrida se ajusta plenamente a todos los principios enunciados, más aún si se atiende a que la STEDH en el asunto Muñoz Díaz c. España no coincide en sus presupuestos con lo que se controvierte en el caso de autos, al no apreciarse esta vez la convicción de buena fe en relación con la validez del matrimonio celebrado conforme a los usos y costumbres gitanos (lo acreditaría el hecho probado que describe que en el propio libro de familia, del que eran titulares el causante y la actora, estos figuraban como solteros, y que así lo reconocían en las inscripciones del nacimiento de diversos hijos, sin que ese documento, por lo demás y como es sabido, tenga valor de atribución o reconocimiento de la existencia de una pareja de hecho formalizada).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esas bases, concluye el escrito, no se producen las vulneraciones denunciadas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22 de marzo de 2019 evacuó el trámite de alegaciones el Ministerio Fiscal,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como hiciera también la letrada de la administración de la Seguridad Social, que no se produjo la alegada discriminación por razón de etnia o raza. España, recuerda, considera matrimonio valido el celebrado según las normas del Código civil, que son aplicables a cualquier persona. La legislación española, añade después, no reconoce al llamado matrimonio gitano validez como tal matrimonio, según resulta de los arts. 49 al 52 del código civil, y no existe tampoco un concordato o convenio con los representantes del pueblo gitano equivalente a los celebrados con los representantes de las confesiones religiosas a cuyas ceremonias matrimoniales se les otorga la cualidad de forma valida de prestar el consentimiento en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 recorrido normativo y jurisprudencial, afirma que la doctrina constitucional española se ha pronunciado en la STC 69/2007, de 16 de abril, FJ 3 y 4 (e indirectamente en la STC 194/2014, de 1 de diciembre), considerando que no existe discriminación por el hecho de no conceder validez al matrimonio gitano, siendo que la propia doctrina del Tribunal Europeo de Derechos Humanos dispuso, en la misma STEDH de 8 de diciembre de 2009, asunto Muñoz Díaz c. España, más allá de los efectos que atribuyó a la buena fe de la demandante en la solución del caso, que el no reconocimiento de efectos civiles al matrimonio gitano no supone una discriminación del art. 14 CEDH (prohibición de discriminación en el goce de derechos y libertades) en relación con el art. 12 del mismo (derecho a casarse y formar una familia), pues afirmó que el Convenio europeo de derechos humanos (CEDH) garantiza el derecho fundamental de casarse y fundar una familia, pero que el ejercicio de tal derecho se rige por las leyes nacionales de los Estados contratantes, sin que el hecho de que las uniones gitanas no produzcan efectos civiles en el sentido deseado por la demandante constituya, entonces, una discriminación prohibida por el art.14 CEDH. Por tanto, a su juicio, esa queja, relativa al matrimonio y su validez a los efectos de la pensión de jubilación, carecería manifiestamente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advierte lesión alguna en relación con la denuncia subsidiaria que formula la demanda, esto es, descarta que suponga discriminación que no se reconozca la prestación de Seguridad Social solicitada con base en la convivencia more uxorio. Y es que, recuerda, la doctrina constitucional española considera que la inscripción en el registro de parejas de hecho o la formalización mediante escritura pública es un requisito constitutivo de la situación jurídica de pareja de hecho, al que en este caso no se dio satisfacción (cita las SSTC 40/2014, de 11 de marzo; 45/2014, de 7 de abril, y 60/2014, de 5 de mayo). En definitiva, todos los españoles que quieran que su unión de tipo marital tenga el reconocimiento de la administración pública a los efectos de tener derecho a la pensión de viudedad y no estén dispuestos a celebrar un matrimonio civil, o a prestar su consentimiento matrimonial en una de las formas religiosas reconocidas por el Estado, deben inscribirse en un registro de parejas de hecho o constituir formalmente su relación de pareja mediante documento público. Un requisito que estima neutral, pues se exige a todas las uniones de tipo marital que quieran constituirse como pareja de hecho a dichos efectos, sean gitanas o no, y cuya dificultad de cumplimiento en caso de pertenencia a la etnia gitana se podría considerar equivalente a la de la inscripción del nacimiento de los hijos comunes en el registro civil, cosa esta última que, sin embargo, sí hicieron los padres.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a la vista del motivo por el que se ha apreciado la especial trascendencia constitucional, tal vez quepa decir que, como interpretación jurisprudencial que es, la doctrina constitucional respecto a naturaleza del requisito de formalización podría modificarse atendiendo a la peculiaridad del pueblo gitano. Subraya en ese sentido que, de producirse esa cambio de criterio, habida cuenta de que el rito gitano matrimonial tradicional incluye una prueba de virginidad que se realiza a la novia, lo que a su parecer resultaría un supuesto claro de discriminación por razón de sexo, sería necesario evitar un resultado en el que se pudiera hacer distinción entre una pareja de hecho gitana que se haya casado por el rito gitano y otra pareja de hecho gitana que tenga los mismos valores de su cultura en cuanto a la importancia de los lazos familiares, y demás vinculados a la relación matrimonial, pero que no estuviera dispuesta a aceptar la prueba de virginidad, no celebrase por consiguiente el rito gitano y viviese maritalmente pero sin celebrar una boda gitana. En otro caso, a la primera pareja, que habría celebrado un rito contrario a la igualdad entre hombres y mujeres, se les premiaría concediéndoles las prestaciones contempladas para las parejas de hecho sin necesidad de ir al registro correspondiente o al notario, mientras que a la segunda pareja que pertenece a la misma minoría discriminada (y seguramente lo estará en mayor medida pues lo sufrirá incluso dentro de su comunidad) se le obligaría a efectuar esa inscripción. No evitar ese resultado podría desestimular que las mujeres gitanas se aproximen al estándar de igualdad con los hombres que constitucionalmente se establece para todas las mujeres, al proscribir nuestra Constitución la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lo relativo a la aplicación al caso de la doctrina de la STEDH del asunto Muñoz Díaz c. España, subraya que esta resolución no estableció la existencia de una discriminación por no haberse dado validez al matrimonio gitano, ni tampoco por no haberse reconocido la condición de unión de hecho en aquel supuesto, sino porque no se tuvo en cuenta la buena fe de la demandante. En el presente caso habría a su parecer, sin embargo, una diferencia decisiva y relevante, pues la buena fe no va referida en aquel pronunciamiento solo a la existencia y realidad del matrimonio gitano sino, antes bien, a la validez o eficacia del mismo frente a las autoridades del Estado. Y estas, en aquella ocasión, crearon con su actuación una expectativa razonable de obtener las mismas prestaciones que un matrimonio civil o religioso válidamente celebrado, lo que es bien distinto a lo acontecido en el caso ahora enjuiciado en el que la recurrente fue calificada como “soltera”, su matrimonio como “no existente” y sus hijos como “naturales o extramatrimoniales”. Por consiguiente, concluye, a diferencia de lo que se apreciara en aquella Sentencia del Tribunal Europeo de Derechos Humanos, no se puede considerar que el Estado haya creado en la demandante una expectativa razonable de tener derecho a la pensión de viudedad, ni que haya tampoco incurrido en un abuso o una diferencia de trato injustificada al proceder a la denegación de la misma. Una argumentación prácticamente idéntica, estimando que no concurre la buena fe, se contiene en la STC 194/2014, de 1 de diciembre, respecto de un matrimonio islámico no inscrito.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todo lo expuesto, solicita en su escrito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en amparo no formuló alegaciones, según deja constancia la diligencia de la Secretaría de Justicia de este tribunal, de 28 de marzo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enero de 2021,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objeto del presente recurso de amparo la sentencia núm. 58/2018, de fecha 25 de enero, dictada por el Pleno de la Sala de lo Social del Tribunal Supremo en el recurso de casación para la unificación de doctrina núm. 2401-2016, que revocó la sentencia dictada por el Tribunal Superior de Justicia de Andalucía (Granada), de 20 de abril de 2016, recurso de suplicación núm. 2843-2015, a su vez revocatoria de la de 13 de octubre de 2015 del Juzgado de lo Social núm. 4 de Jaén en autos núm. 679-2014, en materia de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recurrente, aquella sentencia habría vulnerado el art. 14 CE, toda vez que, de acuerdo con el derecho a no sufrir discriminación racial/étnica, amparado por ese precepto constitucional, partiendo de la STEDH de 8 de diciembre de 2009, asunto Muñoz Díaz c. España y del criterio de buena fe en ella acogido, también concurrente en el presente, debería habérsele concedido la pensión de viudedad solicitada. En tal sentido declara que tenía la convicción de que tenía la condición de mujer casada con todos los efectos inherentes a este estado civil, en atención al propio actuar de la administración, no siendo su situación, por lo demás, diferente a otros casos en los que este tribunal ha considerado que existía tal derecho. Asimismo, de modo subsidiario, entiende que debería haber obtenido ese reconocimiento a la pensión por su convivencia more uxorio, a fin de evitar una discriminación indirecta por la aplicación neutra de una norma sobre la formalización de parejas de hecho que podría objetivamente perjudicar al colectivo gitano (art. 14 CE). Advierte que se trata de una minoría especialmente desfavorecida y vulnerable que precisa de una protección especial, por lo que debería reconocerse su derecho a la pensión, toda vez que el vínculo con el fallecido se desarrolló en régimen vivencial de coexistencia diaria, estable, con permanencia temporal consolidada a lo largo de los años, practicada de forma extensa y pública, con acreditadas actuaciones conjuntas de los interesados y creándose una comunidad de vida amplia, de intereses y fines, en el núcleo del mismo hogar y por un periodo superior a diez años, tal y como consta reflejado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y el INSS interesan la desestimación del recurso. Consideran, en síntesis, que los criterios aplicados por el Tribunal Supremo en orden al requisito del matrimonio o de la formalización de la pareja de hecho no lesionan el art. 14 CE. La regulación contenida en el art. 174.3 LGSS de 1994 resulta neutral desde la perspectiva racial, al margen de que no existe un derecho a la desigualdad de trato y, en fin, que la sentencia del Tribunal Europeo de Derechos Humanos de reiterada cita, no es trasladable al caso de autos. Añade el fiscal, que existen razones de seguridad jurídica para que, en caso de alterarse la jurisprudencia existente en este Tribunal Constitucional sobre la materia controvertida, se evite un resultado en el que se pudiera hacer distinción entre una pareja de hecho gitana que se haya casado por el rito gitano y otra pareja de hecho gitana que tenga los mismos valores de su cultura en cuanto a la importancia de los lazos familiares, y demás vinculados a la relación matrimonial, pero que no estuviera dispuesta a aceptar partes del ritual matrimonial gitano que pueden suponer una contravención de derechos fundamentales y que, por ello, no lo celebrase, pues podría hacerse de peor condición a esta última si la primera obtuviese el reconocimiento de la pensión de viudedad sin cumplir los requisitos legalmente establecidos y a la segunda se le obligase a darles plena satisfacción.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precedentes: la sentencia del Tribunal Europeo de Derechos Humanos Muñoz Díaz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análisis de fondo, hemos de efectuar una serie de consideraciones respecto a las referencias jurisprudenciales de las que debe partirse: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reiterada invocación que tanto las partes, como las resoluciones judiciales que se han dictado en este procedimiento, hacen de la STEDH de 8 de diciembre de 2009, asunto Muñoz Díaz c. España, obliga a examinarla, a fin y efecto de comprobar si se trata de casos iguales o, por el contrario el asunto Muñoz Díaz c. España difiere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Muñoz Díaz c. España, la demandante era de etnia gitana, de nacionalidad española. Se opuso a la denegación de la prestación de viudedad tras el fallecimiento de la persona con la que convivía, también gitano de nacionalidad española. Dicha denegación estuvo motivada en el hecho de que no estuvieran formalmente casados según la legislación española. No se planteaba en aquel caso, por lógicos motivos de secuencia normativa, la aplicabilidad al caso de la regulación hoy existente sobre la constitución y derechos de seguridad social asociados en favor de las parejas de hecho. Ya que la legislación vigente en el momento de producirse la muerte del compañero de la señora Muñoz Díaz exigía vínculo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una correcta comparación entre ambos casos, en el asunto Muñoz Díaz c. España la entonces demandante y su compañero, ambos de etnia gitana, se casaron según los rituales propios de su comunidad; tuvieron seis hijos, que fueron inscritos en el correspondiente libro de familia. Se le reconoció, asimismo, la condición de familia numerosa de primera categoría, para lo que en aquel momento se requería la condición de cónyuges; vivieron juntos desde la fecha de su matrimonio hasta el fallecimiento del varón, quien estaba afiliado a la Seguridad Social, cotizó durante diecinueve años, tres meses y ocho días, y tenía una cartilla en la que figuraban a su cargo la demandante, como esposa, y sus seis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ello, la sentencia del Tribunal Europeo de Derechos Humanos declaró que las autoridades nacionales no negaban que la demandante estuviera convencida de buena fe de la realidad de su matrimonio y más cuando le entregaron diversos documentos oficiales que declaraban su condición de esposa del fallecido, ni podía desatenderse como relevante la fuerza de las creencias colectivas de una comunidad culturalmente bien definida.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Tribunal Europeo de Derechos Humanos sostuvo que la pertenencia a dicha minoría no eximía del deber de respetar las leyes reguladoras del matrimonio, si bien puso de manifiesto la vulnerabilidad de la etnia gitana, entendiendo que por el hecho de constituir una minoría, las autoridades deben mostrar una especial atención a sus necesidades y a su propio modo de vida, lo anterior se concretó exclusivamente ad casum, respecto a la convicción de la demandante en cuanto a su condición de mujer casada con todos los efectos inherentes. Para el Tribunal Europeo de Derechos Humanos, tal convicción fue indiscutiblemente reforzada por la actitud de las autoridades, que le reconocieron la condición de esposa, especialmente, el documento de afiliación al sistema de Seguridad Social, con lo que creó una apariencia que produjo la buena fe de la demandante respecto a la validez de su matrimonio, confirmado con el reconocimiento oficial de ese estado por las autoridades, lo que justifica que la interesada tuviera la legítima expectativa de ser considerada esposa del fallecido, de formar junto a él “una pareja casada reconocida”, de modo que debía reconocérsele su condición de cónyuge al objeto de obtener una pensión de viudedad. En resumen, las autoridades públicas le indujeron, a través de los actos que se han detallado antes, a creer de buena fe que su matrimonio era válido y, por tanto, que tendría derecho a acreditar la pensión de viudedad como cónyuge a la muerte de su compañero, único supuesto que según la legislación vigente en aquel momento, permitía lucrar la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la propia sentencia del Tribunal Europeo de Derechos Humanos subraya al acoger la queja relativa al art. 14 del Convenio Europeo de Derechos Humanos, en relación con el art. 1 del Protocolo núm. 1, fueron las circunstancias específicas del caso las que permitieron la apreciación de desproporción en el trato que la sentencia declaraba. La buena fe de la demandante constituyó, por tanto, el fundamento, la ratio decidendi del pronunciamiento. Tanto es así que, por el contrario, el Tribunal Europeo de Derechos Humanos rechaza la queja relativa a la vulneración del art. 14 CEDH en relación con el art. 12 CEDH, y entiende que el hecho de que las uniones gitanas no produzcan efectos civiles en el sentido deseado por la demandante no constituye una discriminación prohibida.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Como dice la STC 69/2007, de 16 de abril, no puede atraerse a esta tipología de casos, la solución de la STC 199/2004, de 15 de noviembre, puesto que, a diferencia de lo que ahora acontece, en la vía judicial se partió allí, en todo momento, de la apariencia de un matrimonio válidamente celebrado de acuerdo con nuestro ordenamiento jurídico. En el presente caso, por el contrario, como ha sido destacado en los antecedentes, la denegación de la prestación viene dada por la inexistencia de un vínculo matrimonial válido en Derecho y por la falta de formalización de una pareja de hecho de acuerdo con lo prescrito en la ley, al carecer las uniones celebradas conforme a los usos y costumbres de la etnia gitana de la consideración de matrimonio en nuestro ordenamiento jurídico y no haberse constituido tampoco la unión convivencial conforme exige la normativa vigente para acceder a la prestación solicitada. Por tanto, hay que descartar la identidad de supuestos, y, en consecuencia, no resulta aplicable al presente caso la doctrina de la STC 199/2004, de 15 de noviembre, como tampoco, ya se ha visto, la de la sentencia del Tribunal Europeo de Derechos Humanos pronunciada en el asunto Muñoz Díaz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Derecho a no ser discriminado.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todo lo anterior y entrando en el fondo del análisis de la cuestión suscitada, es de destacar, en primer lugar y en relación con el derecho a no ser discriminado, que el Pleno de este tribunal ha reiterado de manera consolidada y constante que la virtualidad del art. 14 CE no se agota en la cláusula general de igualdad, sino que contiene, además, una prohibición explícita de que se dispense un trato discriminatorio con fundamento en los concretos motivos o razones que dicho precepto prevé (STC 39/2002, de 14 de febrero, FJ 4; como antes en las SSTC 200/2001, de 4 de octubre, FJ 4, y 69/2007, de 16 de abril,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22/1981, de 2 de julio, recogiendo la doctrina del Tribunal Europeo de Derechos Humanos en relación con el art. 14 CEDH, este tribunal ha declarado que el principio de igualdad no implica en todos los casos un tratamiento legal equivalente, con abstracción de cualquier elemento diferenciador de relevancia jurídica, de manera que no toda desigualdad de trato normativo respecto a la regulación de una determinada materia supone una infracción del mandato contenido en el art. 14 CE, sino tan solo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prohíbe el principio de igualdad es, en suma, las desigualdades artificiosas o injustificadas, por no venir fundadas en criterios objetivos y razonables, según criterios o juicios de valor generalmente aceptados. Para que sea constitucionalmente lícita la diferencia de trato, es necesario que las consecuencias jurídicas que se deriven de la distinción sean proporcionadas a la finalidad perseguida, de modo que se eviten resultados excesivamente gravosos o desmedidos. En resumen, el principio de igualdad, no solo exige que la diferencia de trato resulte objetivamente justificada, sino también que supere un juicio de proporcionalidad en sede constitucional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virtualidad del art. 14 CE no se agota, sin embargo, en la cláusula general de igualdad con la que se inicia su contenido. A continuación, el precepto constitucional se refiere a la prohibición de una serie de motivos o razones concretos de discriminación. Esta referencia no implica el establecimiento de una lista cerrada de supuestos de discriminación (STC 75/1983, de 3 de agosto, FJ 6), sino que representa una explícita prohibición de determinadas diferencias históricamente muy arraigadas y que han situado, tanto por la acción de los poderes públicos como por la práctica social, a sectores de la población en posiciones, no solo desventajosas, sino contrarias a la dignidad de la persona que reconoce el art. 10.1 CE (SSTC 128/1987, de 16 de julio, FJ 5; 166/1988, de 26 de septiembre, FJ 2, y 145/1991, de 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Constitucional,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(con carácter general respecto al listado del art. 14 CE, SSTC 83/1984, de 8 de febrero, FJ 3; 20/1991, de 31 de enero, FJ 2,y 176/1993, de 27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este tribunal ha admitido también que los motivos de discriminación que dicho precepto constitucional prohíbe puedan ser utilizados excepcionalmente como criterio de diferenciación jurídica (en relación con la raza, STC 13/2001, de 29 de enero, FJ 8), si bien en tales supuestos, el canon de control, al enjuiciar la legitimidad de la diferencia y las exigencias de proporcionalidad, resulta mucho más estricto, así como más rigurosa la carga de acreditar el carácter justificado de la diferenciación (SSTC 126/1997, de 3 de julio, FJ 8, con cita de las SSTC 229/1992, de 14 de diciembre, FJ 4; 75/1983, de 3 de agosto, FFJJ 6 y 7, y 209/1988, de 10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anterior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anteriores criterios, debe considerarse que un perjuicio que pudiera quedar asociado a la pertenencia a una etnia como la gitana, constitutiva de una minoría que precisa una especial atención a sus necesidades y a su propio modo de vida, podría encuadrarse en la prohibición de discriminación contenida en el segundo inciso del art. 14 CE. Es prueba de ello, la propia STC 69/2007, de 16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concurrencia de un matrimonio válido como presupuesto legal para acceder a la prestación de viudedad, el Pleno de este tribunal ha reiterado en diversas resoluciones que tienen su origen en la STC 184/1990, de 15 de noviembre, que no supone una discriminación por razones sociales que el legislador limite la prestación de viudedad a los supuestos de convivencia matrimonial, excluyendo otras uniones o formas de convivencia. A esos efectos, se debe recordar que el legislador dispone de un amplio margen de libertad en la configuración del sistema de Seguridad Social y en la apreciación de las circunstancias socioeconómicas de cada momento a la hora de administrar recursos limitados para atender a un gran número de necesidades sociales, habida cuenta de que el derecho a la pensión de viudedad no está estrictamente condicionado en el régimen contributivo a la existencia de una real situación de necesidad o de dependencia económica por parte del cónyuge supérstite, ni a que este se viera incapacitado para el trabajo y a cargo del fallecido.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este tribunal ha hecho especial hincapié en que el art. 14 CE no impide al legislador extender la prestación de viudedad a otras uniones diferentes, ni encuentra obstáculos en los arts. 32 y 39 CE, ya que la opción de requerir la existencia de un previo vínculo matrimonial para tener derecho a una pensión de supervivencia no es la única constitucionalmente posible. (SSTC 184/1990, de 15 de noviembre; 29/1991, 30/1991, 31/1991, 35/1991 y 38/1991, de 14 de febrero, y 77/1991, de 11 de abril, FJ 3, en todas ellas), como ha ocurrido tras la reforma llevada a cabo por la Ley 40/2007, de 4 de diciembre, de medidas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interpretado el art. 32 CE otorgándole un doble contenido, de modo que el matrimonio, en la Constitución española, es una institución garantizada y, simultáneamente, un derecho constitucional (STC 184/1990, de 15 de noviembre, FJ 3), correspondiendo el desarrollo de su régimen jurídico al legislador que en cualquier caso debe respetar su contenido esencial, por mandato constitucional ex art. 32.2 CE (STC 198/2012, de 6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segunda vertiente, el derecho a contraer matrimonio, o a no contraerlo, “se limita a asegurar la capacidad de elección, a impedir el mandato o la imposibilidad absoluta, pero no a asegurar a quien la ejercita en un determinado sentido los mismos efectos que se atribuyen a quien lo hace en otro”, añadiendo que “pese a la identidad de los sujetos titulares de la libertad, el contenido de la libertad positiva y negativa no (tiene) por qué ser homogéneo, y que el legislador ordinario (puede) atribuir […] consecuencias a una y a otra manifestación”, de manera “que la primera se constituya en un auténtico derecho subjetivo, mientras que la segunda no sea más que una mera libertad jurídica, integrada en el mismo derecho fundamental, y cuyo contenido se ciñe a la posibilidad de optar o a la existencia de una alternativa de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este tribunal ha asumido la existencia de dos regímenes diferenciados por voluntad del legislador, el del matrimonio y el de la convivencia more uxorio, que son reflejo de la capacidad de elección de las personas respecto del ejercicio de su derecho a contraer matrimonio, señalando que la convivencia more uxorio, “ni es una institución jurídicamente garantizada ni hay un derecho constitucional expreso a su establecimiento” (ATC 204/2003, de 16 de junio de 2003, FJ 3). Por ello, el legislador puede diferenciar respecto de las consecuencias que se derivan de la opción, por uno u otro régimen (por todas, STC 66/1994,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ello, partiendo de que era constitucionalmente posible limitar la prestación de viudedad a los supuestos de vínculo matrimonial, también en la STC 69/2007, de 16 de abril, FJ 4 que debían entenderse como tales exclusivamente las formas matrimoniales legalmente reconocidas. Y con base en ello, como quiera que la unión celebrada conforme a los usos y costumbre gitanos no ha sido reconocida por el legislador como una de las formas válidas para contraer matrimonio con efectos de validez civil, no será posible afirmar, que suponga una discriminación directa basada en motivos sociales o étnicos el hecho de que no se reconozca dicha prestación si no consta vínculo matrimonial con el causante en alguna de las formas reconocidas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por consiguiente, motivo para cambiar nuestro criterio en lo relativo al cauce matrimonial como modo de acceso a la pensión de viudedad, ya que por las razones antes resumidas y ampliamente expuestas desde la citada STC 184/1990 y en las restantes resoluciones que a ella se remiten, ninguna vulneración del art. 14 CE desde esta concreta perspectiva se deriva de que haya en la norma una asociación entre el reconocimiento de la prestación de Seguridad Social y la concurrencia de un vínculo matrimonial reconocido por el ordenamiento jurídico, no siéndolo el matrimonio gitano.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Discriminación por motivos raciales o étnicos.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en relación con la pretensión subsidiaria de la demanda, debe afirmarse que tampoco se puede apreciar la existencia de un trato discriminatorio directo por motivos raciales o étnicos derivado de que no se haya equiparado la unión de la recurrente conforme a los usos y costumbre gitanos con las uniones de hecho debidamente formalizadas, pues es doctrina de este tribunal que la inscripción en el registro administrativo de parejas de hecho o la formalización mediante escritura pública es un requisito constitutivo de dicha situación jurídica (SSTC 40/2014, de 11 de marzo; 45/2014, de 7 de abril, y 60/2014, de 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Ley 40/2007, de 4 de diciembre, de medidas en materia de Seguridad Social, dio una nueva redacción al art. 174 LGSS. En su apartado tercero estableció los requisitos que deben cumplir las parejas de hecho para tener acceso a la pensión de viudedad. Así, además de las exigencias de alta, cotización y situación de dependencia económica, estableció dos requisitos simultáneos para que el miembro supérstite de la pareja de hecho pudiera obtener la pensión de viudedad: (i) de un lado, la convivencia estable y notoria con carácter inmediato al fallecimiento del causante y con una duración ininterrumpida no inferior a cinco años (a acreditar mediante el correspondiente certificado de empadronamiento); y (ii) de otro, la publicidad de la situación de convivencia more uxorio, imponiendo como requisito, con carácter constitutivo y antelación mínima de dos años al fallecimiento, la inscripción en el registro de parejas de hecho (en alguno de los registros específicos existentes en las comunidades autónomas o ayuntamientos del lugar de residencia) o su constitución en documento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el Tribunal Supremo y recuerdan las partes personadas en este proceso constitucional, la solución por la que optó el legislador no consiste en una exigencia probatoria duplicada sobre un mismo extremo, la existencia de la pareja de hecho, sino que el nuevo art. 174.3 LGSS estableció dos exigencias diferentes: la material, esto es, la convivencia como pareja de hecho estable durante un período mínimo de cinco años inmediatamente anteriores a la fecha de fallecimiento del causante; y la formal, ad solemnitatem, es decir, la verificación de que la pareja se había constituido como tal ante el Derecho y dotada de “análoga relación de afectividad a la conyugal” con dos años de antelación al hecho causante. De este modo, la pensión de viudedad que la norma vino a recoger no era en favor de todas las parejas de hecho con cinco años de convivencia acreditada, sino en exclusivo beneficio de las parejas registradas además al menos dos años antes del fallecimiento del causante (o que hubieran formalizado su relación en documento público en iguales términos temporales) y que asimismo cumplieran el aludido requisito de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40/2014, de 11 de marzo, regula los requisitos de acceso de las parejas de hecho a una prestación contributiva de la Seguridad Social, que deben ser iguales para todos los que actualicen la contingencia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45/2014, de 7 de abril, por su parte, se destaca que no es que a unas parejas de hecho se les reconozca el derecho a la prestación y a otras no, sino que unas no tienen la consideración de pareja de hecho y otras sí. Quiere ello decir que, a los efectos de la ley, no son parejas estables amparadas por su regulación las que no reúnan esos precisos requisitos, lo que supone una opción adoptada por el legislador a la hora de acotar el supuesto de hecho regulado “que no resulta prima facie arbitraria o irracional”. En efecto, al igual que reconocimos en la STC 93/2013, de 23 de abril, FJ 7, añadíamos que el legislador puede establecer regímenes de convivencia more uxorio con un reconocimiento jurídico diferenciado al del matrimonio, estableciendo ciertas condiciones para su efectivo reconocimiento y atribuyéndole determinadas consecuencias, por lo que el reconocimiento de esas realidades familiares no impone al legislador otorgar un idéntico tratamiento a la convivencia more uxorio acreditada y a la no acreditada, o a la que se verifique por medio de los mecanismos probatorios legalmente contemplados frente a la que carece de ellos, pues no es irrazonable definir a aquéllos como los que garantizan que la atribución de derechos asociada cumplirá las exigencias de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apartado cuarto del art. 174.3 LGSS, en su inciso “[l]a existencia de la pareja de hecho se acreditará mediante certificación de la inscripción en alguno de los registros específicos existentes en las comunidades autónomas o ayuntamientos del lugar de residencia o mediante documento público en el que conste la constitución de dicha pareja”, no vulnera el art. 14 CE. Y la exigencia de la constitución formal, ad solemnitatem, de la pareja de hecho con la antelación mínima a la fecha del fallecimiento del causante de la pensión exigida en el párrafo cuarto del art. 174.3 LGSS no carece de una finalidad constitucionalmente legítima, porque busca atender a través de un medio idóneo, necesario y proporcionado, el compromiso de convivencia entre los miembros de una pareja de hecho, permitiendo al legislador identificar una concreta situación de necesidad merecedora de protección a través de la pensión de viudedad del sistema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no resulta contraria al art. 14 CE la interpretación realizada en el proceso, de suerte que la pretensión de la demandante de que su unión no formalizada reciba el mismo trato que el otorgado a la relación de convivencia no matrimonial debidamente constituida no puede prosperar, no siendo contraria la diferencia de trato a la prohibición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como se añade en la STC 60/2014, de 5 de mayo, y ya se adelantaba en el segundo fundamento jurídico de la presente resolución, no puede apreciarse la vulneración del art. 14 CE por traslación de lo mantenido en la STC 199/2004, de 15 de noviembre, en la que estimamos la vulneración del derecho a la igualdad ante la ley como consecuencia de la denegación de una pensión de viudedad por falta de inscripción en el registro civil de un matrimonio canónico. Resulta inadmisible esa pretensión de proyección de tal doctrina al presente proceso constitucional, en tanto que supondría identificar dos realidades jurídicas (matrimonio y convivencia extramatrimonial) que no resultan equivalentes y que están sometidas a un diverso régimen jurídico en materia de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desestimación de la pretensión de la demandante de amparo apreciada por la Sala de lo Social del Tribunal Supremo en su sentencia de 25 de enero de 2018, no supone una discriminación directa en función del trato recibido por la unión convivencial no formalizada. Dicho en otros términos, lo que en el pasado daba fundamento a denegar la pensión por falta de matrimonio, no podría mantenerse en la actual realidad normativa al haberse extendido el derecho a otras uniones. Pero si no se produce una constitución en forma por los cauces previstos, el resultado final para un régimen de unión de convivencia more uxorio es equivalente al que se daba en el pasado en los supuestos de falta de vínculo matrimonial, puesto que la no satisfacción del requisito obsta el acceso a la cobertura social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no amparando el art. 14 CE lo que se ha denominado “discriminación por indiferenciación”, al no consagrar aquella previsión constitucional un derecho a la desigualdad de trato por no existir ningún derecho subjetivo al trato normativo desigual (por todas, STC 117/2006, de 24 de abril, FJ 2), y al no existir tampoco una razón diferenciadora en la denegación o reconocimiento del derecho fundada en motivos étnicos, no puede prosperar la denuncia formulada desde el prisma de la discriminación directa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han señalado el Ministerio Fiscal y el INSS, no concurre en el presente caso una forma de discriminación directa de la etnia gitana, sino la consecuencia ordinaria de la propia decisión personal, libre y voluntaria, de no acceder a alguna de aquellas fórmulas de constitución en Derecho del vínculo, las cuales ni en sus formas civiles ni en las formas confesionales reconocidas legalmente están condicionadas a la pertenencia a una raza, con exclusión de las demás, ni toman siquiera como presupuesto las tradiciones, usos o costumbres de una determinada etnia en detrimento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Exclusión de la concurrencia de discriminación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podría prosperar la denuncia por discriminación indirecta que la demanda apunta cuando, con cita del voto particular formulado en la sentencia recurrida, subraya que en la neutralidad de la aplicación de la regla de formalización de la pareja de hecho puede verse afectado singularmente el colectivo gitano, debido a las características de sus tradiciones.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la demandante para justificar su pretensión que los gitanos se han convertido en una minoría especialmente desfavorecida y vulnerable, que, por lo tanto, necesitan una protección especial, y que, visto el fuerte arraigo de sus tradiciones y de la sólida estructuración de la comunidad gitana, intensamente ligada a la familia y al parentesco, no es posible desatender que la unión de la pareja mediante el rito propio de su cultura, sumada a la larga convivencia acreditada, ofrece sobradas garantías de que esa situación de pareja existe en tanto que perdura la convivencia entre sus dos componentes, superándose así el test necesario de satisfacción de la finalidad a la que se orienta la norma que obliga, con carácter general, a formalizar por alguna de las vías ya descritas la unión de hecho para acceder a la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145/1991, de 1 de julio, este tribunal incluye en la prohibición de discriminación del art. 14 CE tanto la discriminación directa como la discriminación indirecta. Esta vertiente indirecta de la discriminación ha sido definida, en esencia, con ocasión de discriminaciones por razón de sexo, aunque ya en la sentencia citada, 145/1991 de 1 de julio, FJ 2, se extendió a otras discriminaciones “por características personales”, por lo que resulta posible como hipótesis apreciar su concurrencia en relación con otros factores de discriminación constitucionalmente prohibidos, entre los que cabe incluir también el étnico o racial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importancia en la solución del caso, es también relevante resaltar que la discriminación indirecta puede darse no solo cuando exista “una norma” formalmente neutra y directamente no discriminatoria que produzca, en cambio, efectos desfavorables en el grupo caracterizado por el factor protegido, sino, asimismo, cuando se haya dado “una interpretación o aplicación de la misma” que ocasione aquel impacto o resultado adverso (STC 240/1999, de 20 de diciembre, FJ 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de discriminación indirecta acoge el concepto elaborado en origen por la jurisprudencia del Tribunal de Justicia de la Unión Europea. Esa vertiente de la prohibición de discriminación objeta aquellos tratamientos formalmente neutros y directamente no discriminatorios de los que se derive, sin embargo, un impacto o resultado adverso sobre los miembros de un colectivo protegido, esto es, los casos en los que dicho grupo (aquí, según la demanda, los gitanos que siguen el rito de su cultura y no formalizan la relación convivencial por los cauces legalmente previstos) sufre consecuencias desiguales perjudiciales, motivadas por el impacto diferenciado y desfavorable de tratamientos formalmente iguales o incluso de tratamientos que —descontextualizados del impacto adverso que ocasionan— podrían considerarse razonablemente desiguales.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dicho ya que no existe una formal desigualdad de trato en la norma. Los preceptos rectores del reconocimiento de la pensión de viudedad no diferencian en función de razones étnicas, de suerte que, en una idéntica situación de no formalización de la relación de hecho, lo mismo que a la unidad convivencial de la etnia gitana, se le denegaría también la pensión a cualquier otra convivencia de pareja, al no concurrir en ninguno de los dos casos los requisitos imprescindibles para el acrecimiento de la prestación. Ahora bien, la aproximación al contraste de situaciones que fundamenta la queja desde la perspectiva de la discriminación directa no colma el mandato constitucional de prohibición de discriminación. Por el contrario, la vulneración del derecho fundamental también debería declararse si la interpretación de la norma, aun formalmente neutra en el trato a unos y otros, ocasionara en lo que ahora importa, en los convivientes de la etnia gitana, un impacto o resultado adverso.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interpretación que realiza la resolución impugnada, formalmente neutra, no discrimina de modo indirecto a la recurrente en amparo. En efecto, no se advierte un perjuicio reflejo, mediato o indirecto, que revele que las disposiciones controvertidas produzcan particulares efectos desfavorables para los miembros de la etnia gitana respecto de otros colectivos que, por las razones que en cada caso concurran (por ejemplo ideológicas), opten por la no formalización de su vínculo. Y es que ni las normas se definen o articulan por referencia a un factor étnico (discriminación directa), ya se ha dicho, ni tampoco tienen un impacto mayor u objetivamente significativo y de más alcance en relación con los miembros de las uniones convivenciales de la etnia gitana.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que se aducen, relativos a la protección que precisa la comunidad gitana o al fuerte arraigo de sus tradiciones y a las garantías que, en su cultura y contexto comunitario, se otorga a la relación así nacida, se refieren a la hipótesis ya descartada de la discriminación directa, no así a la que ahora abordamos, y no solo ya por ausencia de datos que permitan acreditar otro resultado en función de evidencias estadísticas (por todas, SSTC 253/2004, de 22 de diciembre, FJ 7, y 91/2019, de 3 de julio, FJ 10), sino porque ni se justifica ni, antes incluso que eso, cabe advertir fundamento objetivo alguno de la existencia de un perjuicio mayor y verdaderamente desfavorable en la norma o en su aplicación, desde una perspectiva cualitativa o cuantitativa, en razón de pertenecer a esa minoría frente al que puede acarrear para cualquier otro colectivo que opte por la no formalización de sus relaciones de convivencia o por una formalización que carezca de validez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insistirse, entonces, en que el ordenamiento jurídico no solo garantiza una forma de acceso civil al vínculo matrimonial con una escrupulosa neutralidad desde el punto de vista racial, sino que, incluso cuando se ha optado por dotar de efectos en materia de prestaciones de seguridad social a otras formas de convivencia, tampoco es posible apreciar connotaciones de exclusión étnica alguna o prejuicios particularmente relevantes y característicos, cualitativos o cuantitativos, que diferencien y generen un mayor impacto o un impacto adverso singularizado, a los miembros de la etnia gitana en caso de incumplimiento de los requisitos y de no reconocimiento consiguiente de la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sin perjuicio de que el legislador pudiera, en atención a las singularidades que plantea la etnia gitana, desarrollar una regulación legal en la que, preservando los derechos y valores constitucionales, se establecieran las condiciones materiales y formales en que las uniones celebradas conforme a los ritos y usos gitanos pudieran contar con plenos efectos civiles, no se advierte en la actual realidad normativa en la interpretación efectuada por la resolución recurrida, ni desde el prisma de la discriminación directa ni desde el propio de la indirecta, un trato discriminatorio por razones étnicas o raciales.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Diferencias con la STEDH asunto Muñoz Díaz c. España, de 8 de diciembre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analizar si el matrimonio de la recurrente resulta comparable y merece igual trato que el contraído conforme al rito gitano por la Sra. Muñoz Díaz, a la que este Tribunal Constitucional desestimó el recurso de amparo interpuesto, invocando el principio de no discriminación por motivos raciales o étnicos en la STC 69/2007, de 16 de abril, si bien después el Tribunal Europeo de Derechos Humanos en su sentencia de 8 de diciembre de 2009 estimó su recurso al entender que había resultado vulnerado el art.14 CEDH en relación con el art. 1 del Protocolo núm. 1 y el art. 1 del Protocolo núm.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que no hay por lo común dos casos iguales y de que siempre los perfiles casuísticos introducen alguna diferencia en el supuesto que sea objeto de enjuiciamiento y es sometido con otros a contraste, es lo cierto que los criterios tomados en consideración por el Tribunal Europeo de Derechos Humanos en aquella sentencia no concurren en el presente caso. Así, aunque en efecto la entonces demandante y su compañero de vida, como ocurre en esta ocasión, pertenecían a la comunidad gitana, se casaron según los rituales propios de su comunidad, tuvieron varios hijos, contaban con libro de familia y vivieron juntos durante un largo período de tiempo, desde la fecha de su matrimonio hasta el fallecimiento, lo cierto es que en el supuesto ahora analizado la demandante carecía de elementos objetivos en que fundar la convicción sobre la validez de su matrimonio y que su unión como convivientes tampoco estaba formalizada, ya que había excluido de forma voluntaria la utilización de cualquiera de las formas que le hubieran permitido lucrar la pensión de viudedad. Todo ello, sin perjuicio, claro está, de la fuerza de las creencias colectivas de una comunidad culturalmente bien definida, esto es, la idea de que el matrimonio contraído según sus propios ritos y tradiciones, es válido para dicha comunidad, aunque no lo sea para las autoridades nacionales que ciertamente no le otorgan validez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conviene subrayar que a diferencia del supuesto que examinamos en la STC 194/2014, de 1 de diciembre, en relación con un matrimonio contraído por el rito islámico carente de validez y eficacia para el ordenamiento jurídico español, no hay constancia alguna de que la administración reconociera la existencia y validez del matrimonio de la recurrente, sino que, por el contrario, en la documentación obrante en las actuaciones consta que el estado civil de la pretendida causante de la pensión de viudedad era soltera y extramatrimoniales los hijos habidos en común. Tampoco existen indicios de que administración alguna le hubiera reconocido los efectos propios de una persona con vínculo matrimonial. Por ello, como ya hemos adelantado en el fundamento jurídico 2 de la presente resolución, en esta ocasión no es posible atender a la buena fe de la demandante de amparo como canon de proporcionalidad en el juicio de la posible lesión del art. 14 CE, como hiciera en su día el Tribunal Europeo de Derechos Humanos en el asunto Muñoz Díaz c. España, pues la recurrente en amparo Sra. Cortés Cortés era plenamente conocedora de la falta de validez de su matrimonio, al haberse celebrado por un rito no reconocido por nuestro ordenamiento jurídico y tampoco formalizó en momento alguno su relación more uxorio en el modo exigido por la legislación para el reconocimiento de su derecho a la prestación de viudedad por el sistema nacional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este tribunal comparte el criterio expresado por el Ministerio Fiscal y por el INSS, no observando vulneración del art. 14 CE en la sentencia de la Sala de lo Social del Tribunal Supremo, de fecha de 25 de enero de 2018, que ha sido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demanda de amparo promovida por doña Joaquina Cortés Cortés.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núm. 1343-2018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manifiesto mi discrepancia con la parte sustancial de la fundamentación jurídica y con el fallo. Considero que hubiera debido otorgarse el amparo a la demandante por vulneración de su derecho a no ser discriminada por razones de pertenencia a una minoría nacional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en desacuerdo con la argumentación y con la conclusión de que no existe una discriminación indirecta por razones de pertenencia a una minoría nacional en el trato normativo, administrativo y judicial dispensado a las uniones de vida celebradas conforme a las tradiciones culturales del pueblo romaní a los efectos de lucrar la prestación por viudedad. Mi desacuerdo se refiere también al restringido alcance que se reconoce a la STEDH de 8 de diciembre de 2009, asunto Muñoz Díaz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pertenencia a una minoría nacional y el origen étnico como criterios de prohibición de trato discriminatorio.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art. 14 CE, al establecer los criterios de prohibición de trato discriminatorio, no se refiere expresamente a la pertenencia a una minoría nacional o al origen étnico, a diferencia de lo que se hace tanto en el art. 14 CEDH y en el art. 1.1 del Protocolo núm. 12 CEDH como en el art. 21.1 Carta de los derechos fundamentales de la Unión Europea. Sin embargo, la cláusula “cualquier otra condición o circunstancia personal o social” permite englobar criterios de dicha naturaleza dentro de la prohibición antidiscriminatoria constitucionalmente protegida si no se estima posible una interpretación más actualizada y flexible del concepto de raza que, manteniendo la intención originaria de prohibir cualquier discriminación por el color de la piel o por cualquier rasgo morfológico de las personas humanas, así como por la pertenencia a grupos caracterizados por tales rasgos, integre los antes expresados criterios con la suficiente amplitud y, al propio tiempo, eluda el riesgo de aceptar la raza como criterio tipológico, pues la centralidad de tal concepto en el texto de la Constitución para identificar discriminaciones de la índole de las que estamos examinando pudiera considerarse como una anacronía que inevitablemente evoca la teoría de la existencia de razas humanas, hoy rechazada con abrumadora mayoría en el mundo científico y del pensamiento.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ámbito regional europeo de los derechos humanos va consolidándose la idea de que el pueblo romaní constituye una minoría nacional. Así, en el Convenio-marco para la protección de las minorías nacionales (núm. 157 del Consejo de Europa), hecho en Estrasburgo el 1 de febrero de 1995 (“BOE” núm. 20, de 23 de enero de 1998), que representa el texto fundamental sobre el respeto a los derechos de estas minorías, diversos Estados parte, como Alemania o Macedonia del Norte, hicieron una declaración expresa de reconocimiento de sus nacionales de origen romaní como minoría a los efectos del Convenio. Del mismo modo, el Tribunal Europeo de Derechos Humanos, en la ya citada sentencia de 8 de diciembre de 2009, aceptó la aplicación de las normas de este convenio sobre minorías nacionales en el enjuiciamiento de la denegación de una pensión de viudedad a una mujer perteneciente a la comunidad romaní española.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está, pues, controvertido que el pueblo romaní constituye una minoría discriminada y que, por tanto, resultan de aplicación a sus miembros las normativas antidiscriminatorias que, al margen de la prohibición general de discriminación reconocida en los textos fundamentales de derechos humanos (art. 27 del Pacto internacional de derechos civiles y políticos; art. 14 y Protocolo núm. 12 CEDH; arts. 20 a 22 de la Carta de los derechos fundamentales de la Unión Europea), aparecen desarrolladas, en el ámbito internacional, en el Convenio internacional sobre eliminación de todas las formas de discriminación racial, aprobado por la Asamblea General de las Naciones Unidas el 21 de diciembre de 1965 (“BOE” núm. 118, de 17 de mayo de 1969), y, en el ámbito europeo, en el ya citado Convenio-marco para la protección de las Minorías Nacionales de 1995 y en la Directiva 2000/43/CE del Consejo de 29 de junio de 2000, relativa a la aplicación del principio de igualdad de trato de las personas independientemente de su origen racial o étnico (“DOCE” L 180, de 19 de julio de 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Este cuerpo normativo y la jurisprudencia que emana de los tribunales encargados de su interpretación y aplicación se constituyen —a los efectos de la obligación de interpretación conforme de las normas relativas a los derechos fundamentales y a las libertades que la Constitución reconoce con los tratados y acuerdos internacionales sobre estas materias ratificados por España (art. 10.2 CE)— como elementos referenciales del juicio de constitucionalidad que, desde la perspectiva del art. 14 CE, hay que desarrollar en relación con las resoluciones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necesario destacar determinados aspectos de estas regulaciones que son relevantes para este caso. En primer lugar, la importancia que se reconoce al reconocimiento de las singularidades culturales y la prohibición de políticas de asimilación. Así, el art. 5 del Convenio-marco para la protección de las Minorías Nacionales de 1995, establece, en el apartado primero, que “las partes se comprometen a promover las condiciones necesarias para permitir a las personas pertenecientes a minorías nacionales mantener y desarrollar su cultura, así como preservar los elementos esenciales de su identidad, a saber, su religión, lengua, tradiciones y patrimonio cultural”; y, en el apartado segundo, que “sin perjuicio de las medidas adoptadas de conformidad con su política general de integración, las partes se abstendrán de toda política o práctica encaminada a la asimilación contra su voluntad de personas pertenecientes a minorías nacionales y protegerán a esas personas contra toda acción destinada a dicha asimilación”.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estos textos se hace hincapié en la aplicación de estas políticas antidiscriminatorias a los derechos económicos y, singularmente, a los que reconozca el sector público en materia de protección social y de seguridad social [art. 5 e) del Convenio internacional sobre eliminación de todas las formas de discriminación racial; y art. 1.3 de la Directiva 2000/43/CE].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prohibición de discriminación indirecta por pertenencia a una minoría nacional o por razones de origen étnico.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jurisprudencia constitucional española se ha pronunciado en diversas ocasiones sobre la prohibición del trato discriminatorio indirecto —en la mayoría de los casos por motivos de género— definiendo como tal la existencia de una norma o su interpretación o aplicación que, aunque sea formal o aparentemente neutra desde la perspectiva de los criterios de prohibición de trato discriminatorio, supone, por las diversas circunstancias de hecho concurrentes en el caso, un impacto adverso en miembros de determinados grupos discriminados que carece de justificación al no fundarse en una exigencia objetiva e indispensable para la consecución de un objetivo legítimo o por no resultar idónea para el logro de tal objetivo (así, STC 110/2015, de 28 de mayo,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discriminación indirecta por pertenencia a una minoría nacional o por razones de origen étnico aparece también definida en el art. 2 de la citada Directiva 2000/43/CE cuando afirma que “existirá discriminación indirecta cuando una disposición, criterio o práctica aparentemente neutros sitúe a personas de un origen racial o étnico concreto en desventaja particular con respecto a otras personas, salvo que dicha disposición, criterio o práctica pueda justificarse objetivamente con una finalidad legítima y salvo que los medios para la consecución de esta finalidad sean adecuados y necesarios”.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siendo objetable la posibilidad de discriminación indirecta por estos motivos, no existe obstáculo alguno a la aplicación del parámetro de control desarrollado de manera amplia en la jurisprudencia constitucional de nuestro país —también en la del Tribunal Europeo de Derechos Humanos y del Tribunal de Justicia de la Unión Europea— en relación con la discriminación por motivos de género (así, por ejemplo, SSTC 110/2015, de 28 de mayo, FFJJ 6 a 8, o 91/2019, de 3 de julio, FJ 4). Conforme a este parámetro, para poder establecer que se ha producido un trato discriminatorio indirecto resulta preciso, partiendo de la existencia de una norma o práctica judicial o administrativa formalmente neutra desde la perspectiva del criterio antidiscriminatorio, en primer lugar, determinar la existencia de una desventaja particular para el grupo formado por ciudadanos de la minoría nacional o grupo étnico de referencia para, posteriormente, comprobar si esa diferencia de trato responde a una medida de política social legítima, justificada por razones objetivas, ajenas a toda discriminación por estos motivos, adecuada para alcanzar la finalidad perseguida y que no exceda de lo que es necesario a tal fin.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única resolución en la que el Tribunal se ha pronunciado sobre la discriminación indirecta por pertenencia a una minoría nacional o por razones de origen étnico es la STC 69/2007, de 16 de abril. Esta sentencia versa, como ocurre en el caso enjuiciado, sobre la denegación de una prestación de viudedad fundada en la negativa a equiparar una unión de vida celebrada conforme a las tradiciones culturales del pueblo romaní con las uniones matrimoniales reconocidas estatalmente. En aquel caso el Tribunal concluyó que no se había producido un trato discriminatorio indirecto. Aquella decisión, sin embargo, no fue compartida por el Tribunal Europeo de Derechos Humanos, que en la ya citada STEDH de 8 de diciembre de 2009 concluyó que sí había existido una vulneración del art. 14 CEDH, en relación con el art. 1 del Protocolo núm. 1 del CEDH.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defiende de manera extensa que los supuestos enjuiciados en aquel caso y en el presente tienen contextos normativos y objetos diferentes, cosa que imposibilita alcanzar la misma conclusión. En aquel caso —se argumenta— la normativa reguladora de la prestación de jubilación quedaba restringida a las uniones matrimoniales registradas. Por consiguiente, el análisis del posible trato discriminatorio indirecto se hacía comparando estas uniones matrimoniales con las uniones de vida celebradas conforme a las tradiciones culturales del pueblo romaní. En el presente caso —se concluye— la reforma operada por la Ley 40/2007, de 4 de diciembre, de medidas en materia de Seguridad Social, admite la generación del derecho a pensión en las uniones de vida no matrimoniales registradas, por lo que la comparación se produce entre la unión de vida registrada y la unión de vida no registrada, por más que esta se haya celebrado conforme a las tradiciones culturales del pueblo romaní.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me hace difícil aceptar que —sin incurrir en el vicio lógico de la distinción irrelevante— estas diferencias impidan aplicar a este caso las razones operativas en que se apoya la citada STEDH de 8 de diciembre de 2009, partiendo del principio de protección de las minorías nacionales y culturales e incluyendo el principio de la buena fe de la demandante como elemento significativo en el juicio de proporcionalidad sobre una posible lesión del art. 14 CE. Considero, por las razones que desarrollaré a continuación, en línea con el voto particular formulado por dos de las magistradas de la Sala de lo Social del Tribunal Supremo a la sentencia impugnada en este recurso de amparo —cuya fundamentada opinión comparto—, que en este caso se ha producido una discriminación indirecta por pertenencia a una minoría nacional por el diferente tratamiento dispensado para lucrar la prestación de viudedad, por una parte, a las uniones de vida celebradas conforme a las tradiciones culturales del pueblo romaní y, por otra, a las uniones de vida no matrimoniales que hayan resultado inscritas en alguno de los registros específicos existentes en las comunidades autónomas o ayuntamientos del lugar de residencia o formalizadas mediante documento público en el que conste la constitución de dicha unión de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discriminación indirecta por pertenencia a una minoría nacional o por razones de origen étnico por la denegación de la prestación de viudedad a las uniones de vida celebradas conforme a las tradiciones culturales del pueblo romaní.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opinión mayoritaria en la que se sustenta la sentencia argumenta que la norma reguladora de la prestación de viudedad y su interpretación y aplicación en las resoluciones impugnadas no suponen una discriminación indirecta por pertenencia a una minoría nacional o por razones de origen étnico. Dicha opinión se funda en que no concurre el presupuesto para la existencia de este tipo de discriminación, a saber, la existencia de un perjuicio que revele efectos desfavorables para los miembros del pueblo romaní respecto de otros colectivos que opten por la no formalización de su unión de vida —bien sea a través de uniones matrimoniales registradas o uniones de vida inscritas en registros públicos—. Se argumenta que la aplicación que se ha realizado de la normativa vigente no tiene un impacto mayor u objetivamente significativo y de más alcance en relación con los miembros de las uniones de vida celebradas conforme a las tradiciones culturales del pueblo romaní.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esta afirmación. La jurisprudencia constitucional ha establecido, que, para determinar de la existencia de efectos desfavorables para un grupo formado mayoritariamente por personas integradas en el criterio de prohibición de trato discriminatorio, “la incorporación de la discriminación indirecta como contenido proscrito por el art. 14 CE repercute en la forma de abordar el análisis de este tipo de discriminaciones, pues deberá atenderse necesariamente a los datos revelados por la estadística (STC 128/1987, de 16 de julio, FJ 6), ya sean datos estadísticos aportados por el órgano judicial promotor de la respectiva cuestión de inconstitucionalidad o datos estadísticos actualizados de oficio por el tribunal (STC 253/2004, FJ 8)” (STC 91/2019, de 3 de julio,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Ante la falta de datos estadísticos más precisos —explicable por la prohibición del uso de datos identificativos de la pertenencia a una minoría nacional o al origen étnico en los censos de población—, diferentes estudios estiman que los miembros del pueblo romaní residentes en España serían entre 650 000 a 800 000 personas, lo que representaría en torno al 1,57 por 100 de la población española [datos elaborados por el Consejo de Europa y utilizados por la Comisión europea en el documento “Un marco europeo de estrategias nacionales de inclusión de los gitanos hasta 2020”, de 5 de abril de 2011, COM(2011) 173 final]. Estos datos se elevan de 725 000 a 750 000 e incluso hasta un millón en la Estrategia nacional para la inclusión social de la población gitana en España 2012-2020, aprobada por acuerdo del Consejo de Ministros el 2 de marzo de 2012. El “Estudio comparado sobre la situación de la población gitana en España en relación al empleo y la pobreza”, elaborado en 2019 por Iseak y la Fundación Secretariado Gitano, se llegan a manejar cifras que oscilarían entre las 800 000 y 1 500 000 personas.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menos complejo es establecer los datos sobre la situación de estado civil en la comunidad romaní. En el trabajo “Diagnóstico social de la comunidad gitana en España. Un análisis contrastado de la encuesta del Centro de Investigaciones Sociológicas  a hogares de población gitana 2007”, publicado por el Ministerio de Sanidad, Política Social e Igualdad en el año 2011, se afirma que el porcentaje de familias romaníes compuestas de manera nuclear por un matrimonio —con o sin hijos— es del 64,1 por 100, frente al de la población general, que es del 54,7 por 100; y que la unión de vida por su rito cultural tradicional de forma exclusiva está presente en un 28 por 100 de las personas casadas de esta comunidad, mientras que el resto formaliza esta unión de manera combinada con la religiosa o la civil. Se señala, significativamente, que, atendiendo a la proporción por grupos de edad de miembros de la comunidad con uniones de vida celebradas conforme a sus tradiciones no registradas, podría estar aumentando la proporción de quienes se deciden por uniones tradicionales no inscritas. Por contraposición, en la población general, según datos aportados por el instituto Nacional de Estadística respecto de 2001, solo un 6 por 100 de las uniones censadas en España eran de hecho frente a las que estaban formalmente registradas como matrimonio; y en la población general se ha mantenido en torno al 15 por 100 el número de parejas que optan por uniones de vida frente al 85 por 100 que lo hacen por el matrimonio entre los años 2014 a 2019, según la “Encuesta continua de hogares” del Instituto Nacional de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una prevalencia de estas características de las uniones de vida celebradas conforme a las tradiciones culturales del pueblo romaní no inscritas en registros específicos habilitados al efecto o formalizadas mediante documento público, no puedo compartir la opinión —salvo que se acepte como criterio inspirador un positivismo formalista estricto— de que la neutralidad de la mera exigencia de la inscripción o formalización pública de estas uniones no implica para la comunidad romaní, en mayor proporción que para la población general, un perjuicio cuantitativo derivado de la imposición de un requisito adicional para acceder a la prestación de viudedad consistente en realizar actos de formalización para completar la tradicional unión de vida universal y ancestralmente reconocida. Antes bien, estimo que la argumentación contraria se impone de manera concluyente.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Cualitativamente, este prejuicio también aparece especialmente como relevante para los miembros de esta minoría nacional derivado de la doble circunstancia de que, por un lado, la pensión de viudedad se constituye como una prestación contributiva que se vincula a periodos de cotización no despreciables (alta o situación asimilada al alta de 500 días dentro de un período ininterrumpido de cinco años inmediatamente anteriores al fallecimiento o quince años a lo largo de toda la vida laboral); y, por otro, que, de acuerdo con el ya citado “Estudio comparado sobre la situación de la población gitana en España en relación al empleo y la pobreza” (2019), la comunidad romaní presenta un desempleo de larga duración que afecta al 70 por 100  de las mujeres y al 76 por 100 de los varones, con una cronicidad —más de cuatro años desempleados— que afecta al 30 por 100 de ellas y al 42 por 100 de ellos, con una incidencia notablemente superior a la de la población general; pues las probabilidades de tener un empleo de la población general es del 63,1 por 100, mientras que la de la población gitana es del 29,9 por 100.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Parece que en un contexto de tan alta incidencia de desempleo y de muy larga duración en la comunidad romaní que, a su vez, se convierte en una seria dificultad para el cumplimiento de los requisitos temporales de cotización para lucrar esta prestación de viudedad, impedir su acceso a los miembros de esta minoría que pueden reunir este requisito por establecer una unión de vida conforme a sus tradiciones culturales sin inscripción formal en registros específicos supone también desde esta perspectiva un perjuicio cualitativo relevante en relación con la población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Antes de formular una conclusión sobre la existencia de efectos desfavorables para los miembros del pueblo romaní respecto de otros colectivos que opten por la no formalización de su unión de vida, no puedo dejar de referirme al hecho de que del perjuicio que origina este tratamiento podría derivarse un cierto sesgo de discriminación indirecta por motivos de género, el cual suscitaría la duda sobre si la situación creada envuelve una dimensión de discriminación interseccional. Según datos oficiales correspondientes al Anuario de 2019 del Ministerio de Trabajo y Economía Social, de las 1 625 640 personas que cobran la pensión de viudedad, 61 911 son varones y 1 563 712 son mujeres. Esta situación se ve acrecentada por la singular circunstancia de que en la comunidad romaní, según los datos aportado en el ya citado trabajo “Diagnóstico social de la comunidad gitana en España. Un análisis contrastado de la encuesta del Centro de Investigaciones Sociológicas a hogares de población gitana 2007”, el sustentador principal de la familia nuclear compuesta por un matrimonio con o sin hijos es el varón en el 83 por 100 de los casos.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creo que las cifras expuestas ponen de manifiesto que sí existen efectos desfavorables para los miembros del pueblo romaní respecto de otros colectivos que opten por la no formalización de su unión de vida —bien sea a través de uniones matrimoniales registradas o uniones de vida inscritas en registros públicos— en cuanto al cumplimiento de este requisito para la obtención de la pensión de viudedad.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Una vez constatada la aparente neutralidad de la exigencia controvertida y demostrado que genera unos efectos desfavorables estadísticamente significativos a los miembros de la minoría romaní, especialmente a las mujeres de esta comunidad, la conclusión sobre la existencia de un trato discriminatorio indirecto quedaría acreditada, en los términos ya expuestos, si esa diferencia de trato no responde a una medida de política social legítima, justificada por razones objetivas, ajenas a toda discriminación por estos motivos, adecuada para alcanzar la finalidad perseguida y que no exceda de lo que es necesario a tal fin.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estos efectos, creo que no es preciso un desarrollo más extenso que el expuesto sobre esta cuestión en el voto particular formulado a la sentencia de casación impugnada, cuando las magistradas disidentes señalan que, tomando como punto de partida consideraciones antropológicas referidas a esta comunidad, la unión de vida celebrada conforme a sus tradiciones culturales, con independencia de su ineficacia jurídica, tiene un indubitado valor comunitario que hace redundante e innecesaria la común exigencia para la población general del cumplimiento de las formalidades de su inscripción en registros específicos. En última instancia, si la regla de la exigencia de inscripción se vincula como medio probatorio para acreditar la existencia de una unión de vida, la realidad cultural de la comunidad romaní respecto de este tipo de uniones supera la satisfacción de la finalidad buscada con dicha exigencia, convirtiéndola en desproporcionada desde la perspectiva de la prohibición de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creo que conforme a parámetros asumidos como estándares por la jurisprudencia constitucional, por la del Tribunal Europeo de Derechos Humanos y por la del Tribunal de Justicia de la Unión Europea en relación con la verificación de que se ha producido una discriminación indirecta, el caso enjuiciado en el presente recurso de amparo reúne todas las características necesarias: (i) el tratamiento dispensado a la demandante de amparo es formalmente neutro desde la perspectiva de cualquier criterio discriminatorio prohibido; (ii) este tratamiento supone una desventaja particular estadísticamente significativa tanto desde una perspectiva cuantitativa como cualitativa para los miembros de la comunidad romaní que, de conformidad con ancestrales tradiciones culturales, acceden a la conformación de uniones de vida al margen de formalidades legales en un porcentaje importante, con una especial afectación a las mujeres, en tanto que son las mayoritariamente potenciales beneficiarias de esta prestación de viudedad; y (iii) la exigencia controvertida de la inscripción de la unión de vida en un registro específico o mediante la formalización de un documento público, que es por completo ajena a su tradición cultural, cumple una finalidad de garantía que, aun siendo legítima, queda satisfecha, incluso en mayor medida, por los elementos que comporta la solidez de la tradición cultural de la unión de vida celebrada conforme al rito romaní.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Al margen de lo expuesto, en línea con la jurisprudencia establecida en la citada STEDH de 8 de diciembre de 2009, también defendí en la deliberación que no cabía excluir la concurrencia de la buena fe de la demandante de amparo como elemento relevante del juicio de proporcionalidad de la posible lesión del principio de no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hacer explícita también aquí mi opinión en el sentido de que en dicha resolución se destacaron como circunstancias determinantes para valorar la buena fe de la demandante no solo los actos más o menos concluyentes de la administración pública que pudieran haber generado una expectativa legítima sobre la validez de su unión de vida —lo que hubiera podido ser aplicado en hipótesis a cualquier otra persona que no formara parte de la comunidad romaní— sino, específicamente, aquellos vinculados a su pertenencia a esta minoría nacional. Así, el Tribunal Europeo de Derechos Humanos toma en consideración su pertenencia a una comunidad en el seno de la cual la validez de la unión de vida según sus propios ritos y tradiciones no ha sido nunca discutida ni considerada contraria al orden público por las autoridades nacionales, destacando “que la fuerza de las creencias colectivas de una comunidad culturalmente bien definida no puede ser ignorada” (§ 59), a partir de lo cual se enfatiza la necesidad del respecto a las minorías (§ 60 y 61) y se recuerda que, conforme al Convenio-marco para la protección de las minorías nacionales, los Estados están obligados a tener debidamente en cuenta las condiciones específicas de las personas pertenecientes a minorías nacionales (§ 64).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en el presente caso, al igual que en el supuesto enjuiciado en la STEDH de 8 de diciembre de 2009, concurre la circunstancia de que la demandante celebró su unión de vida en el año 1974. Este aspecto también fue ponderado en aquella ocasión, en la que se destacó que entonces solo era posible en España, excepto previa declaración de apostasía, casarse de acuerdo con el rito del derecho canónico de la Iglesia católica (§ 57). El hecho de que con posterioridad existiera la posibilidad de formalizar la unión como un matrimonio civil registrado o conforme a cualquiera de las celebraciones religiosas con validez estatal o incluso mediante la formalidad de la mera inscripción en un registro específico de uniones de vida no impide apreciar la existencia de un trato discriminatorio por pertenencia a una minoría nacional. Como también advierte el Tribunal Europeo de Derechos Humanos en aquella resolución, aceptar esta tesis supondría una modificación de los elementos litigiosos que vaciaría de contenido la prohibición de discriminación (§ 70). Por mi parte, no puedo dejar de mostrar mi recelo frente a un argumento que ofrece el riesgo de poder ser instrumentado en otros contextos para defender planteamientos de asimilación alejados de los postulados constitucionales sobre protección de las minorías.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