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25 de enero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7502-2019, promovido por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diciembre de 2019, tuvo entrada en el registro general de este Tribunal Constitucional un escrito de la procuradora doña Blanca Berriatua Horta, en representación de la entidad Penrei Inversiones, S.L., por el que interpuso recurso de amparo contra el auto de 19 de noviembre de 2018, del Juzgado de Primera Instancia e Instrucción núm. 4 de Lorca, que inadmitió el escrito de oposición a la ejecución hipotecaria promovida por Banco de Sabadell, S.A.; y contra el auto del mismo juzgado, 30 de octubre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19 de noviembre de 2018, el Juzgado de Primera Instancia e Instrucción ya indicado dictó un auto en el procedimiento de ejecución hipotecaria núm. 363-2018 por el que acordó: “Inadmitir a trámite la oposición formulada por la parte ejecutada Euroinversiones Inmobiliarias Costa Sur, S.L., y Penrei Inversiones, S.L., (…) por estar presentada fuera de plazo”, advirtiendo en pie de recurso que contra dicha resolución cabía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el artículo 695 LEC, que la parte ejecutada pueda oponerse al despacho de ejecución en los términos previstos en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(no de apelación) por la entidad aquí demandante de amparo, como consta en el expediente del Juzgado a quo, este último dictó auto el 30 de octubre de 2019 desestimándolo (aunque con mención únicamente a la entidad Euroinversiones Inmobiliarias Costa Sur, S.L.), con confirmación de la resolución recurrida, en virtud de los motivos expresados en su fundamento de derecho único, teniendo así por válido el emplazamiento efectuado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propio documento núm. 1 aportado con el escrito interponiendo recurso de reposición y de las propias alegaciones vertidas por la recurrente, resulta la correcta recepción de la notificación en fecha 03/07/2018, fecha en la que se materializó la ‘puesta a disposición’ de la notificación correctamente y del propio documento resulta que pasaron más de tres días desde la misma sin que se hubiera accedido al contenido hasta el día 3 de agosto de 2018, por tanto, en aplicación estricta de la dispuesto en el apartado segundo del art. 162 LEC, sin que se haya justificado por el recurrente una imposibilidad de acceder al sistema en este plazo. Por todo ello, debe ser desestimado el recurso interpuesto, al ser el auto recurrido plenamente ajustado a Derecho, al inadmitir un escrito que fue presentado fuera de plazo cuando ya había precluido la posibilidad de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“Contra este auto no cabe recurso alguno, sin perjuicio de reproducir la cuestión objeto de la reposición al recurrir, si fuera posible, la resolución definitiva (artículo 454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Ley de enjuiciamiento civil.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19 de noviembre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es importante hacer mención a la “recientísima sentencia del Tribunal Constitucional STC 47/2019, de 8 de abril, que no solo confirma todo lo dicho hasta ahora en el presente recurso de Amparo, sino que lo refuerza, en el sentido de que en modo alguno debe entenderse que, tratándose del emplazamiento, este no se efectúe en el domicilio como impone el artículo 155.1 de la Ley de Enjuiciamiento Civil”, sin que a ello obste la argumentación dada por el auto que inadmite la oposición; pasando a reproducir pasajes de los FFJJ 2 a 5 de dicha STC 47/2019.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 30 de octubre de 2019 que desestimó la reposición, se rechaza por la recurrente que los preceptos citados por el juzgado fundamenten su decisión, en cuanto “no es menos cierto que, en ningún precepto de la Ley de enjuiciamiento civil se diga que al proceso civil se le aplican las normas del proceso administrativo, ni existe ningún precepto en ninguna otra norma que otorgue a la normativa del proceso administrativo el mismo rango o aplicabilidad que puedan tener la norma procesal civil, la penal, la contencioso-administrativa o la social, que disponen de regulación específica a través de normas concretas, puesto que, mientras la administrativa regula un tipo de procedimiento específico, las otras hacen referencia a procesos que se plantean ante tribunales de justicia, que aunque forman parte de la ‘administración’, tienen su normativa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aquellas, a fin de que el Juzgado a quo admita a trámite la oposición al despacho de ejecución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363-2018 seguido ante el Juzgado de Primer Instancia e Instrucción número cuatro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Cuarta, Sala Segunda, de este Tribunal Constitucional, dictó diligencia de ordenación el 15 de enero de 2020 solicitando al juzgado a quo la remisión de certificación o fotocopia adverada de las actuaciones correspondientes del procedimiento de ejecución hipotecaria núm. 363-2018.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dictó providencia el 30 de noviembre de 2020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o bien que el recurso puede dar ocasión al tribunal para aclarar o cambiar su doctrina, como consecuencia de cambios normativos relevantes para la configuración del contenido del derecho fundamental [STC 155/2009, FJ 2.b)].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Diríjase atenta comunicación a Juzgado de Primera Instancia e Instrucción núm. 4 de Lorca a fin de que, y toda vez que ya constan recibidas las actuaciones de instancia, se emplace a quienes hubieren sido parte en el procedimiento, excepto la parte recurrente en amparo para que en el plazo de diez días puedan comparecer, si lo desean,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de la admisión del recurso, el 30 de noviembre de 2020,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recurrente presentó su escrito de alegaciones con fecha 11 de diciembre de 2020,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sus AATC 21/2018 de 5 de marzo; 58/2018 de 4 de junio, y 117/2018 de 29 de octubre; reiterando a renglón seguido las vulneraciones constitucionales de fondo que aduce en su demanda, e indicando que de no adoptarse la medida y “seguir adelante la ejecución podría producirse la transmisión irrecuperable del dominio del bien inmueble, creando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la fiscal ante este Tribunal Constitucional formalizó su escrito de alegaciones en esta pieza el 15 de diciembre de 2020,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LOTC y del ATC 127/2015, de 20 de julio, FJ 1, considera la fiscal que la entidad recurrente funda su solicitud de suspensión en la pérdida de finalidad del recurso, “sin explicitar ninguna razón que permita afirmar que la continuación del procedimiento judicial incluso con desplazamiento posesorio, provoque un perjuicio determinante de la pérdida de la finalidad del recurso de amparo”. De manera distinta, sostiene que “para conseguir el efecto protector deseado por la recurrente y enervar los indeseables efectos de la paralización del procedimiento que por su propia naturaleza goza de las características de celeridad y sumariedad,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tercero adquirente queda especialmente protegido por su buena fe en la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no tiene dudas de que este tribunal puede acordar dicha medida, ex art. 56.3 LOTC, conforme tiene establecido nuestra doctrina, con cita del ATC 2/2019, de 9 de enero, FJ 4. Entiende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proceso de amparo, por lo que se interesa la anotación preventiva de la demanda en el registro de la propiedad evitando así, situaciones cuya reversibilidad sería que imposible (sic)”.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363-2018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donde se plantearon los mismos argumentos que aquí para solicitar la suspensión por la otra entidad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 en relación con el presente recurso de amparo instado por la entidad Penrei Inversiones, S.L.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363-2018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