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6093-2019, promovido por Penrei Inversiones, S.L., contra el auto del Juzgado de Primera Instancia e Instrucción núm. 5 de Lorca, de 21 de septiembre de 2018, que inadmitió la demanda de oposición a la ejecución formulada por dicha mercantil, en el procedimiento de ejecución hipotecaria núm. 284-2018 instado por la entidad Banco de Sabadell, S.A., y contra el auto del mismo juzgado, de 10 de septiembre de 2019, que desestimó el recurso de reposición interpuesto contra la anterior resolución. Ha intervenido el Ministerio Fiscal. Se ha personado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octubre de 2019, la procuradora de los tribunales doña Blanca Berriatua Horta, actuando en nombre y representación de Penrei Inversiones, S.L., bajo la defensa de la letrada doña Anju Nirmala Benavent Rodríguez,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43.403 sita en el término municipal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5 de Lorca, al que correspondió el conocimiento del proceso, dictó auto el 7 de mayo de 2018 por el que acordó el despacho de ejecución (procedimiento de ejecución hipotecaria núm. 284-2018),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9 de mayo de 2018, el servicio de notificaciones electrónicas de la Fábrica Nacional de Moneda y Timbre remitió un correo al buzón de la dirección electrónica habilitada de la entidad aquí recurrente en amparo, avisándole de una notificación del Juzgado de Primera Instancia núm. 5 de Lorca relativa al proceso “EJH/0000284/2018”; notificación a la que podía acceder entre los días 9 de mayo a 24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que conste que se hubiere accedido al enlace habilitado en el anterior mensaje, el día 23 de junio de 2018 el servicio de notificaciones electrónicas mencionado remitió un nuevo correo al buzón de la dirección electrónica habilitada de la recurrente en amparo, recordándole el anterior aviso y la posibilidad de acceder a la notificación en el enlace indicado, hasta las 23:59 horas del día siguiente, 24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24 de junio de 2018, por personal de la recurrente se accedió al enlace remitido por la dirección electrónica habilitada y, con ello, a la notificación enviada por el juzgado de primera instancia ejecutor en relación con el procedimiento hipotecario núm. 284-2018. También en esa fecha, la Fábrica Nacional de Moneda y Timbre emitió un certificado electrónico que obra en las actuaciones del proceso (al igual que los anteriores correos), dejando constancia de que la notificación había sido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9 de julio de 2018, el representante procesal de la demandante de amparo formalizó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5 de Lorca dictó auto el 21 de septiembre de 2018,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Penrei Inversiones, S.L., Euroinversiones Inmobiliarias Costa Sur, S.L., reresentada por el procurador D. Antonio Serrano Caro por estar presentada fuera de plazo, contra Banco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el representante procesal de la demandante de amparo se interpuso recurso de reposición contra el anterior auto. En el recurso defendió que la notificación y requerimiento de pago tuvo lugar cuando accedió al contenido de la notificación electrónica remitida y no antes, siendo desde entonces que cabía computar el plazo de diez días del art. 556 de la Ley de enjuiciamiento civil (LEC). Con invocación también de los arts. 135, 152.1.2, párrafo tercero, 155.2,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ejecutor dictó auto el 10 de septiembre de 2019 en desestimación del recurso de reposición, con los argumentos que expuso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[sic], las mismas desde el 1 de enero de 2017 (disposición transitoria cuarta de la Ley 42/2015, de 5 de octubre, de reforma de la LEC) están obligadas a relacionarse con la Administración de Justicia por medios electrónicos [art. 14. 2 a) de la Ley 39/2015 LPACAP y art. 273.3 a)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 las recurrentes de forma errónea la normativa aplicable. Así el artículo 162.2 de la LEC en cualquiera de los supuestos a los que se refiere este artículo, cuando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exceptuarán aquellos supuestos en los que el destinatario justifique la falta de acceso al sistema de notificaciones durante ese periodo. Si la falta de acceso se debiera a causas técnicas y estas persistiesen en el momento de ponerlas en conocimiento, el acto de comunicación se practicará mediante entrega de copia de la resolución. En cualquier caso, la notificación se entenderá válidamente recibida en el momento en que conste la posibilidad de acceso al sistema. No obstante, caso de producirse el acceso transcurrido dicho plazo pero antes de efectuada la comunicación mediante entrega, se entenderá válidamente realizada la comunicación en la fecha que conste en el resguardo acreditativo de su recepción.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artículos 33.2 y 34 de la Ley 18/2011, de 5 de julio, reguladora del uso de las tecnologías de la información y la comunicación en la Administración de Justicia establecen que ‘las comunicaciones a través de medios electrónicos se realizarán, en todo caso, con sujeción a lo dispuesto en la legislación procesal y serán válidas siempre que exista constancia de la transmisión y recepción, de sus fechas y del contenido íntegro de las comunicaciones, y se identifique con la autenticación que sea exigible al remitente y al destinatario de las mismas’; ‘[e]l sistema de notificación permitirá acreditar la fecha y hora en que se produzca la salida y las de la puesta a disposición del interesado del acto objeto de notificación, así como de acceso a su contenido. En caso de que el acto de comunicación no pueda llevarse a cabo por medios electrónicos, se procederá a imprimir la resolución y la documentación necesaria, procediéndose a la práctica del acto de comunicación en la forma establecida en las leyes procesales e incorporándose a continuación el documento acreditativo de la práctica del acto de comunicación, debidamente digitalizado, al expediente judicial electrónico. En todo caso, el destinatario del acto de comunicación tendrá derecho a obtener copia de la documentación recibida en formato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11.2 del Real Decreto 1065/2015 de 27 de noviembre, sobre comunicaciones electrónicas en la Administración de Justicia en el ámbito territorial del Ministerio de Justicia y por el que se regula el sistema Lexnet determina que ‘[s]erá de aplicación a los actos de comunicación realizados a través de la sede judicial electrónica lo dispuesto en el artículo 162.2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resulta clarificador el acuerdo no jurisdiccional del Pleno de la Sala Cuarta del Tribunal Supremo de 6 de julio de 2016 […]: ‘Cuando haya constancia de la correcta remisión del acto de comunicación y transcurran tres días hábiles sin que el destinatario acceda a su contenido, se entenderá que la comunicación ha sido efectuada con plenos efectos procesales. Por tanto, constando correcta la remisión de la comunicación tal y como se constata por el letrado de la Administración de justicia, el hecho de que el destinatario no hubiera accedido al contenido sino hasta el 9 de diciembre de 2017 no es determinante de nulidad de actos por cuanto la comunicación se entiende efectuada con plenos efectos procesales. Por todo ello se desestima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09/05/2018 no accediendo al contenido hasta el día 24/06/2018 (fuera de los tres días que establece la normativa procesal), presentando los escritos de oposición a la ejecución en fecha 09/07/2018 claramente fuera del plazo legalmente establecido en el art. 556.1 de la LEC (dentro de los diez días siguientes al de la notificación del auto despachando ejecución), y siendo que, conforme al art. 136 de la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indicaba que dicha resolución “es firme, y contra la misma no cabe recurso alguno”. Tanto este auto como el anterior de 21 de septiembre de 2018, fueron notificados por el juzgado al procurador de la demandante de amparo a través del sistema Lexnet, tal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10 de septiembre de 2019,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el proceso,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10 de septiembre de 2019 que desestimó el recurso de reposición promovido contra la anterior resolución —y del que se han expuesto sus argumentos—, se rechaza por la recurrente que el juzgado haya fundamentado su segunda decisión en la Ley del procedimiento administrativo común, que considera inaplicable al ámbito procesal civil. Precisa que, en materia de notificación de actos procesales existe una normativa propia detallada en la Ley de enjuiciamiento civil según ha expuesto, ensamblada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284-2018 seguido ante el Juzgado de Primera Instancia e Instrucción núm. 5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15 de junio de 2020 por la que acordó: (i) admitir a trámite el recurso, “apreciando que concurre en el mismo una especial trascendencia constitucional (art. 50.1 LOTC) como consecuencia de que el órgano judicial pudiera haber incurrido en una negativa manifiesta del deber de acatamiento de la doctrina de este tribunal [STC 155/2009, FJ 2 f)]”; (ii) constatar la existencia en el tribunal del testimonio de las actuaciones de la ejecución hipotecaria 284-2018 por haber sido remitidas por el órgano ejecutor en el recurso de amparo conexionado 6079-2019 y emplazar a quienes hubieran sido parte en el proceso de ejecución, excepto a la recurrente en amparo, para poder comparecer en el presente proceso constitucional en del plazo de diez días, a efecto de formular alegaciones;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22 de julio de 2020, la procuradora de los tribunales doña María Claudia Munteanu con la asistencia letrada de don Alejandro Ingram Solís, actuando en nombre y representación de la entidad Pera Assets Designated Activity Company, solicitó se tuviera a esta última como personada y parte recurrida en lugar de la ejecutante Banco de Sabadell, S.A., entendiéndose con dicha procuradora las actuaciones sucesivas de este proceso. Justificaba su petición en la escritura de cesión onerosa de créditos hipotecarios suscrita con Banco de Sabadell, S.A., como cedente, otorgada el 23 de julio de 2019, y en su efectiva personación en el proceso de ejecución donde fue acordado su emplazamiento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Sección Cuarta de 14 de octubre de 2020 se acordó: (i) tener por personada y parte a la procuradora señora Munteanu en nombre y representación de la sociedad indicada, y (ii) dar vista de las actuaciones recibidas a las partes personadas y al Ministerio Fiscal por plazo común de veinte días para presentar alegaciones de conformidad con lo previsto en el art. 52. 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escrito de alegaciones el 30 de noviembre de 2020,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5 de Lorca, en el juicio de ejecución hipotecaria 284-2018”, y retroacción de las actuaciones al momento inmediato anterior a aquella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 el recurso “como uno de los que componen la serie de los interpuestos por Euroinversiones Inmobiliarias Costa Sur, S.L., y Penrei Inversiones, S.L., frente a diversos autos dictados en procedimientos hipotecarios tramitados por diferentes juzgados de primera instancia de Lorca, por idénticas vulneraciones” y recuerda, con cita de la STC 40/2020, del Pleno, de 27 de febrero, y de la STC 43/2020, de 9 de marzo, que algunos ya han sido resueltos por lo que, al concurrir identidad fáctica y jurídica procedería aplicar la doctrina sentada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8 de diciembre de 2020, por el que interesó se dictara resolución estimatoria del recurso de amparo, haciendo mención a la STC 40/2020, del Pleno del Tribunal Constitucional, que resuelve el recurso de amparo 5377-2018 promovido por Euroinversiones Inmobiliarias Costa Sur, S.L., “en un asunto prácticamente igual al del presente recurso de amparo” que refuerza las exigencias para llevar a efecto el primer emplazamiento. Añadía, como motivo de singular acogimiento, haber sido demandante en el recurso de amparo 5379-2018 en el que denunciaba idénticas vulneraciones con relación a otro proceso de ejecución hipotecaria sustanciado en el mismo partido judicial y que fue estimado por STC 43/2020, de 9 de marzo, dictada por la Sala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consta presentado dentro del plazo del art. 52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solicitud de suspensión formulada por la recurrente en amparo mediante otrosí de su escrito de demanda, por ATC 80/2020, de 20 de julio, la Sala Segunda de este Tribunal Constitucional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Secretaría de Justicia se ha dictado diligencia el 17 de diciembre de 2020, dejando constancia de la presentación de los escritos de alegaciones del Ministerio Fiscal, del representante procesal de la recurrente en amparo y de su falta de presentación por la entidad recurrida,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Penrei Inversiones, S.L., impugna los autos del Juzgado de Primera Instancia núm. 5 de Lorca, de 21 de septiembre de 2018 y 10 de septiembre de 2019, recaídos en el proceso hipotecario núm. 284-2018.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Ley de enjuiciamiento civil.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recurrida no ha efectuado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como afirma en trámite de alegaciones la recurrente en amparo y subraya el Ministerio Fiscal,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dictada en sede de cuestión de inconstitucionalidad, y 47/2019, de 8 de abril, FJ 4 a), recaída en proceso de amparo,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vulneración de su derecho fundamental a la tutela judicial efectiva sin padecer indefensión (art.24.1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21 de septiembre de 2018 y 10 de septiembre de 2019, dictados por el Juzgado de Primera Instancia e Instrucción núm. 5 de Lorca en el proceso de ejecución hipotecaria núm. 284-2018,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