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15 de febrero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7501-2019, promovido por Penrei Inversiones, S.L., representada por la procuradora de los tribunales doña Blanca Berriatua Horta y bajo la dirección de la letrada doña Anju Nirmala Benavent Rodriguez, contra los autos de 27 de noviembre de 2018 y de 30 de octubre de 2019, dictados por el Juzgado de Primera Instancia e Instrucción núm. 4 de Lorca, en el procedimiento de ejecución hipotecaria núm. 372-2018, por los que, respectivamente, se inadmite por extemporánea la demanda de oposición formulada y se confirma esta última decisión, tras desestimarse el recurso de reposición interpuesto frente a ella. Ha intervenido el Ministerio Fiscal. Ha comparecido la entidad Pera Assets Designated Activity Company, actuando como sucesora procesal del banco ejecutante.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26 de diciembre de 2019, la entidad Penrei Inversiones, S.L., representada por la procuradora de los tribunales doña Blanca Berriatua Horta y bajo la dirección de la letrada doña Anju Nirmala Benavent Rodríguez, interpuso recurso de amparo contra las resoluciones referidas en el encabezamiento. La presentación de dicho escrito dio lugar al recurso de amparo núm. 7501-2019, cuyo conocimiento correspondió a la Sección Segunda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relevantes para resolver la pretensión planteada, según se recogen en la demanda y en la documentación aportada,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Juzgado de Primera Instancia e Instrucción núm. 4 de Lorca se sigue procedimiento de ejecución hipotecaria núm. 372-2018 promovido por la entidad Banco de Sabadell, S.A., frente a las sociedades Euroinversiones Inmobiliarias Costa Sur, S.L., en calidad de prestataria e hipotecante, y Penrei Inversiones, S.L., en calidad de titular registral de un derecho de uso y disfrute sobre el inmueble hipotecado, la finca registral 43.317 del registro de la propiedad núm. 3 de Lorca.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27 de junio de 2018 se acordó despachar ejecución frente a las sociedades demandadas por la cantidad de 8877,50 € de principal y 4510 € como intereses y costas presupuestados. El servicio de notificaciones de la Fábrica Nacional de Moneda y Timbre remitió a la demandante de amparo, a través de la dirección electrónica habilitada, un aviso de notificación del citado auto que le fue comunicado por dicho medio el 29 de junio de 2018. En dicha comunicación se informa que la notificación estará disponible hasta el 31 de agosto del mismo año, accediendo la recurrente de amparo efectivamente a la página web y a la notificación dentro del plazo en que la misma se encontraba disponible.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legal de Penrei Inversiones, S.L., presentó escrito de oposición a la ejecución despachada con fecha 31 de agosto de 2018. Por auto de 27 de noviembre de 2018 se acordó su inadmisión por considerar la pretensión extemporánea, tomando como fecha de notificación el 29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sociedad mercantil recurrente interpuso recurso de reposición contra el auto de inadmisión alegando, en síntesis, que las actuaciones de notificación y requerimiento no habían sido realizadas el día 29 de junio de 2018, sino en la fecha en que accedió a la web y procedió a su descarga, y que la comunicación remitida a través de la dirección electrónica habilitada no puede entenderse más que un aviso de puesta a disposición o descarga de su contenido durante un plazo determinado (en el caso desde el 29 de junio hasta el 31 de agosto de 2018), pues entenderlo de otro modo, además de infringir los arts. 135, 152, 160, 162 de la Ley de enjuiciamiento civil (LEC), vulnera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Tras su tramitación el recurso de reposición fue desestimado por auto de 30 de octubre de 2019. Según esta resolución, la recurrente tiene la condición de persona jurídica y, por tanto, está obligada a relacionarse con la administración de justicia por medios electrónicos. “Así, pese a las alegaciones del recurrente que pretende mantener que el escrito de oposición fue presentado en plazo para ello por entender que el auto despachando la ejecución y el requerimiento efectuado debe entenderse notificado en fecha 3 de agosto de 2018, en la que se accedió efectivamente a las citadas resoluciones, lo cierto es que debe tenerse en cuenta la fecha en la que efectivamente tuvo la parte posibilidad de acceder a las mismas, de lo contrario se estaría dejando al arbitrio de las partes obligadas a utilizar el sistema electrónico de comunicaciones el cumplimiento de los plazos procesales dispuesto en la normativa”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se queja en su recurso de la vulneración de su derecho a la tutela judicial efectiva sin indefensión (art. 24.1 CE) en su vertiente de acceso al proceso. Considera que con la interpretación ofrecida en el auto objeto de impugnación, el juzgado “no ha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solo dirigido al legislador, sino también al intérprete, obligándole a promover la defensa mediante la correspondiente contradicción, tal y como reconoce la sentencia 37/1984 del Tribunal Constitucional”. Justifica la especial trascendencia constitucional aludiendo a la novedosa implantación de procesos de notificación por medios electrónicos en el ámbito de la jurisdicción civil en relación con las exigencias procesales derivadas de la regulación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solicita por medio de segundo otrosí la suspensión de la continuación del procedimiento de ejecución hipotecaria alegando que “con la celebración de subasta y la eventual adjudicación a terceros, pueden hacer perder al recurso de amparo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junio de 2020 la Sección Segunda de este tribunal acordó no admitir a trámite el recurso de amparo por no apreciar en el mismo la especial trascendencia constitucional que, como condición para su admisión, requiere el art. 50.1 b) de la Ley Orgánica del Tribunal Constitucional (STC 155/2009, de 25 de junio, FJ 2). Dicha providencia se dejó sin efecto en virtud del auto de 18 de septiembre de 2020 que estimó el recurso de súplica interpuesto contra la misma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21 de septiembre de 2020 la Sección Segunda de este tribunal acordó admitir a trámite el recurso de amparo apreciando que concurre en el mismo una especial trascendencia constitucional (art. 50.1 de la Ley Orgánica del Tribunal Constitucional: LOTC) “toda vez que el recurso puede dar ocasión al tribunal para aclarar o cambiar su doctrina, como consecuencia de cambios normativos relevantes para la configuración del contenido del derecho fundamental [STC 155/2009, FJ 2 b)]”. De conformidad con lo dispuesto en el art. 51 de nuestra Ley Orgánica reguladora (LOTC), se acordó dirigir comunicación al Juzgado de Primera Instancia e Instrucción núm. 4 de Lorca, a fin de que, en el plazo de diez días, remitiera certificación o fotocopia adverada de las actuaciones correspondientes a los autos de ejecución hipotecaria núm. 372-2018 y emplazara a quienes hubieran sido parte en el proceso del que trae causa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de este tribunal el 18 de diciembre de 2020, la procuradora de los tribunales doña María Claudia Munteanu, actuando en nombre y representación de la entidad Pera Assets Designated Activity Company, solicitó se tuviera a esta última por personada como parte recurrida, entendiéndose con dicha procuradora las actuaciones sucesivas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21 de diciembre de 2020, la secretaría de justicia de la Sala Primera de este tribunal dictó diligencia de ordenación por la que acordó tener por personada y parte en nombre y representación de Pera Assets Designated Activity Company a la procuradora doña María Claudia Munteanu y dar vista de las actuaciones a las partes personadas y al Ministerio Fiscal, por plazo común de veinte días, a fin de que pudieran presentar las alegaciones que estimasen pertinentes, conforme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entidad demandante de amparo presentó sus alegaciones el 27 de enero de 2021, en las que se remite a lo expuesto en su recurso y hace mención adicional a los pronunciamientos de la STC 40/2020, de 27 de febrero, a propósito del uso indebido de la dirección electrónica habilitada para realizar el primer emplazamiento del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fiscal ante este Tribunal Constitucional, mediante escrito registrado el 5 de febrero de 2021, presentó sus alegaciones interesando la estimación del recurso de amparo. Tras exponer la jurisprudencia del Tribunal Constitucional sobre los actos de comunicación procesal, con expresa referencia a las SSTC 40/2020, de 27 de febrero, y 43/2020, de 9 de marzo, solicita que se declare vulnerado el derecho a la tutela judicial efectiva sin indefensión de la demandante y la nulidad de todo lo actuado desde la notificación electrónica del auto que despachó la ejecución solicitada, con retroacción de las actuaciones al momento inmediatamente anterior a dicha notificación “para que se le dé al recurrente posibilidad de formular oposición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fecha 11 de febrero de 2021,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El presente recurso de amparo tiene por objeto la impugnación de los autos de 27 de noviembre de 2018 y de 30 de octubre de 2019, dictados por el Juzgado de Primera Instancia e Instrucción núm. 4 de Lorca, en el procedimiento de ejecución hipotecaria núm. 372-2018. Según la entidad mercantil demandante de amparo, una interpretación irrazonable de la legislación procesal le habría privado injustamente de su derecho a formular oposición a la ejecución hipotecaria. Tratándose de un primer emplazamiento, el requerimiento de pago y alternativo derecho a oponerse a la demanda ejecutiva debió realizarse de manera personal en su domicilio social con entrega en papel de la documentación, y no mediante el servicio de notificaciones electrónicas y de dirección electrónica habilitada de la Fábrica Nacional de Moneda y Timbre. El órgano judicial habría incumplido su obligación de asegurar, no ya la legalidad formal de los actos de comunicación, sino el cumplimiento efectivo de su finalidad constitucional. Todo ello constituiría una vulneración del derecho fundamental de la demandante de amparo a la tutela judicial efectiva sin indefensión (art. 24 CE). Solicita, en consecuencia, la anulación de las resoluciones indicadas, así como la retroacción al momento procesal oportuno, previo al dictado del auto de 27 de noviembre de 2018, a fin de que el juzgado admita a trámite su oposición al despacho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solicitó la estimación de la demanda de amparo y la nulidad de todo lo actuado desde la notificación electrónica del auto de despacho de la ejecución con retroacción de las actuaciones al momento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40/2020, de 27 de febrero, del Pleno del tribunal, estimó un recurso de amparo basado en los mismos motivos, interpuesto por la misma entidad mercantil y dirigido contra autos de contenido muy similar de otro juzgado de Lorca. Corresponde, en consecuencia, dar por reproducidos los fundamentos jurídicos de aquella sentencia y declarar por ello que los autos de 27 de noviembre de 2018 y de 30 de octubre de 2019, dictados por el Juzgado de Primera Instancia e Instrucción núm. 4 de Lorca, han vulnerado el derecho a la tutela judicial efectiva de la recurrente en amparo (art. 24.1 CE). Como en aquel caso, la estimación del amparo trae consigo la nulidad de los autos recurridos, así como de todo lo actuado en el procedimiento hipotecario a quo desde el momento en que se proveyó al emplazamiento de la entidad mercantil solicitante de amparo a través de la dirección electrónica habilitada.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mercantil Penrei Inversiones,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recurrente en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 los autos de 27 de noviembre de 2018 y de 30 de octubre de 2019, dictados por el Juzgado de Primera Instancia e Instrucción núm. 4 de Lorca, en el procedimiento de ejecución hipotecaria núm. 372-2018, así como la nulidad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demandada, debiendo llevarse a cabo de nuevo este último por el referido juzgado de forma que resulte respetuoso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