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7506-2019, promovido por Euroinversiones Inmobiliarias Costa Sur, S.L., representada por la procuradora de los tribunales doña Blanca Berriatua Horta y bajo la dirección del letrado don Marcelino Gilabert García, contra los autos de 27 de noviembre de 2018 y de 30 de octubre de 2019, dictados por el Juzgado de Primera Instancia e Instrucción núm. 4 de Lorca, en el procedimiento de ejecución hipotecaria núm. 372-2018, por los que, respectivamente, se inadmite por extemporánea la demanda de oposición formulada y se confirma esta última decisión, tras desestimarse el recurso de reposición interpuesto frente a ella. Ha intervenido el Ministerio Fiscal. Ha comparecido la entidad Pera Assets Designated Activity Company, actuando como sucesora procesal del banco ejecutante.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diciembre de 2019, la entidad Euroinversiones Inmobiliarias Costa Sur, S.L., representada por la procuradora de los tribunales doña Blanca Berriatua Horta y bajo la dirección del letrado don Marcelino Gilabert García, interpuso recurso de amparo contra las resoluciones referidas en el encabezamiento. La presentación de dicho escrito dio lugar al recurso de amparo núm. 7506-2019, cuyo conocimiento correspondió a la Sección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372-2018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43.317 del registro de la propiedad núm. 3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27 de junio de 2018 se acordó despachar ejecución frente las sociedades demandadas por la cantidad de 8877,50 € de principal y 4510 €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29 de junio de 2018. En dicha comunicación se informa que la notificación estará disponible hasta el 31 de agosto del mismo año, accediendo la recurrente de amparo efectivamente a la página web y a la notificación dentro del plazo en que la misma se encontraba 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con fecha 31 de agosto de 2018. Por auto de 27 de noviembre de 2018 se acordó su inadmisión por considerar la pretensión extemporánea, tomando como fecha de notificación el 29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29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29 de junio hasta el 31 de agosto de 2018), pues entenderlo de otro modo, además de infringir los arts. 135, 152, 160 y 162 de la Ley de enjuiciamiento civil (LEC), vulnera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de reposición fue desestimado por auto de 30 de octubre de 2019. Según esta resolución, la recurrente tiene la condición de persona jurídica y, por tanto, está obligada a relacionarse con la administración de justicia por medios electrónicos. “Así, pese a las alegaciones del recurrente que pretende mantener que el escrito de oposición fue presentado en plazo para ello por entender que el auto despachando la ejecución y el requerimiento efectuado debe entenderse notificado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junio de 2020 la Sección Segunda de este tribunal acordó no admitir a trámite el recurso de amparo por no apreciar en el mismo la especial trascendencia constitucional que, como condición para su admisión, requiere el art. 50.1 b) LOTC (STC 155/2009, de 25 de junio, FJ 2). Dicha providencia se dejó sin efecto en virtud del auto de 18 de septiembre de 2020 que estimó el recurso de súplica interpuesto contra la misma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septiembre de 2020 la Sección Segunda de este tribunal acordó admitir a trámite el recurso de amparo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De conformidad con lo dispuesto en el art. 51 de nuestra Ley Orgánica reguladora (LOTC), se acordó dirigir comunicación al Juzgado de Primera Instancia e Instrucción núm. 4 de Lorca, a fin de que, en el plazo de diez días, remitiera certificación o fotocopia adverada de las actuaciones correspondientes a los autos de ejecución hipotecaria núm. 372-2018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18 de diciembre de 2020, la procuradora de los tribunales doña María Claudia Munteanu, actuando en nombre y representación de la entidad Pera Assets Designated Activity Company, solicitó se tuviera a esta última como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21 de diciembre de 2020, la secretaría de justicia de la Sala Primera de este tribunal dictó diligencia de ordenación por la que acordó tener por personada y parte en nombre y representación de Pera Assets Designated Activity Company a la procuradora doña María Claudia Munteanu y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demandante de amparo presentó sus alegaciones el 27 de enero de 2021, en las que se remite a lo expuesto en su recurso y hace mención adicional a los pronunciamientos de la STC 40/2020, de 27 de febrero, a propósito del uso indebido de la dirección electrónica habilitada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ante este Tribunal Constitucional, mediante escrito registrado el 28 de enero de 2021, presentó sus alegaciones interesando la estimación del recurso de amparo. Tras exponer la jurisprudencia del Tribunal Constitucional sobre los actos de comunicación procesal, con expresa referencia a las SSTC 40/2020, de 27 de febrero, y 43/2020, de 9 de marzo, solicita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los autos de 27 de noviembre de 2018 y de 30 de octubre de 2019, dictados por el Juzgado de Primera Instancia e Instrucción núm. 4 de Lorca, en el procedimiento de ejecución hipotecaria núm. 372-2018. 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27 de noviembre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solicitó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40/2020, de 27 de febrero, del Pleno del Tribunal, estimó un recurso de amparo basado en los mismos motivos, interpuesto por la misma entidad mercantil y planteado contra autos de contenido muy similar de otro juzgado de Lorca. Corresponde, en consecuencia, dar por reproducidos los fundamentos jurídicos de aquella sentencia y declarar por ello que los autos de 27 de noviembre de 2018 y de 30 de octubre de 2019, dictados por el Juzgado de Primera Instancia e Instrucción núm. 4 de Lorca,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27 de noviembre de 2018 y de 30 de octubre de 2019, dictados por el Juzgado de Primera Instancia e Instrucción núm. 4 de Lorca, en el procedimiento de ejecución hipotecaria núm. 372-2018,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referido juzgado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