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3507-2019, interpuesto por Grupo Inversiones Nicolás Serrano, S.L., contra el auto de 14 de mayo de 2019, dictado por el Juzgado de Primera Instancia e Instrucción núm. 4 de Murcia, en cuya virtud se desestimó el recurso de revisión y subsidiario de nulidad de actuaciones interpuesto contra el decreto de adjudicación de la finca hipotecada de fecha de 19 de noviembre de 2018, en el procedimiento de ejecución hipotecaria núm. 48-2017 instado por la entidad Banco de Sabadell, S.A., que se ha personado y formulado alegaciones.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junio de 2019, la entidad Grupo Inversiones Nicolás Serrano, S.L., representada por la procuradora de los tribunales doña Águeda María Meseguer Guillén y bajo la dirección de la letrada doña Carmen García Hernández, interpuso recurso de amparo contra el auto de 14 de mayo de 2019 del Juzgado de Primera Instancia e Instrucción núm. 4 de Murcia, dictado en el procedimiento de ejecución hipotecaria núm. 48-2017, por el que se desestimó el recurso de revisión y subsidiario de nulidad de actuaciones interpuesto contra el decreto de 19 de noviembre de 2018 que adjudicaba la finca de la mercantil recurrente núm. 41.482 del registro de la propiedad núm.1 de Murcia a favor del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la resolución del presente recurso de amparo son, sucintamente,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e Instrucción núm. 4 de Murcia se tramita, a instancias de Banco de Sabadell, S.A., frente a la sociedad recurrente en amparo Grupo Inversiones Nicolás Serrano, S.L., y frente a Ferroatalaya, S.L., proceso de ejecución de título no judicial (escritura pública de préstamo con garantía hipotecaria otorgada el 22 de marzo de 2007 y novada el 10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ejecutante interesa en su demanda de ejecución del bien hipotecado que, por no haber realizado el requerimiento de pago con carácter previo, este fuera acordado y practicado en el domicilio designado en la escritura pública, a saber: Avenida Alto Atalayas núm. 254, de Cabezo de Torres.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los correspondientes trámites, el auto de fecha de 15 de marzo de 2017 ordenó la ejecución del título de escritura de préstamo hipotecario, acordando requerir a las ejecutadas al pago. El requerimiento y la notificación del proceso fueron practicados a través de la dirección electrónica habilitada —sede judicial electrónica— con fecha de 26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procedimiento siguió su curso sin que ninguna de las dos sociedades demandadas se personara. Así, se anunció la celebración de la subasta, su señalamiento a través del portal de subastas electrónicas provinciales y, finalmente, por decreto de 19 de noviembre de 2018, fue adjudicada la finca objeto de ejecución a favor de la ejecutante por el 50 por 100 del valor de tasación.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recurrente en amparo, mediante escrito de fecha de 15 de enero de 2019, se personó en las actuaciones e interpuso recurso de revisión contra el decreto de adjudicación, denunciando la infracción del art. 16.2 del Real Decreto 1065/2015, de 27 de noviembre, y del art. 155.1 de la Ley de enjuiciamiento civil (LEC) por ausencia de un primer emplazamiento personal en el domicilio social, ya que, a su juicio, dicha regulación normativa obligaba al órgano judicial a efectuarlo de ese modo y no por medios electrónicos, razón por la cual desconoció de la existencia del proceso a su debido tiempo, lo que le habría causado indefensión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revisión fue desestimado por auto de 14 de mayo de 2019. Para alcanzar este fallo, el órgano judicial razona en su fundamento jurídico 3 que “partiendo de esta doctrina y examinadas las actuaciones ha de indicarse que no se observa causa de nulidad alguna en las actuaciones, ni puede fundarse la misma en el hecho de que la recurrente no tuviera conocimiento del emplazamiento realizado en fecha 24-05-2017 y ello porque del examen de las actuaciones resulta acreditado, que la mercantil ejecutada fue correctamente emplazada mediante sede electrónica, habiendo sido enviada cédula de requerimiento, auto, auto ejecución hipotecaria, decreto despachando ejecución, demanda y todos los documentos acompañados a la misma en fecha 24-05-2017, siendo recepcionada en destino el 26-05-17 y retirada por la mercantil Grupo Inversiones Nicolás Serrano, S.L., en fecha 30-05-2017. Por consiguiente, habiendo quedado demostrado que las resoluciones en virtud de las cuales fue emplazada, por primera vez la mercantil ejecutada, fueron debidamente notificadas a través de la sede judicial electrónica, de conformidad con lo prevenido en los arts. 152.2, 161.1, 273.3 de la LEC, arts. 4 y 11 del RD 1065/2015 de 27 de noviembre sobre comunicaciones electrónicas en la administración de justicia en el ámbito territorial del Ministerio de Justicia y por el que se regula el sistema Lexnet y art. 230 LOPJ, no resulta procedente estimar el recurso de revisión ni declarar la nulidad de actuaciones con carácter subsidiario pretendida, en cuanto que no se han producido infracciones de normas esenciales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contenía la indicación de que contra él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demandante de amparo aduce en su recurso la vulneración del derecho a la tutela judicial efectiva sin indefensión (art. 24.1 CE), en su vertiente de acceso al proceso, denunciando el modo de efectuar la primera citación o emplazamiento del demandado en el proceso de ejecución, todo ello en relación con lo dispuesto en los arts. 16.2, 16.3 y 21.2 a) del Real Decreto 1065/2015, de 27 de noviembre, el art. 155.1 LEC y en la doctrina que recoge la STC 47/2019,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 la vista de nuestra sentencia 47/2019, de 8 de abril, cuyos fundamentos traslada a su escrito de demanda y que resuelve un caso muy similar al presente, entiende que los actos de comunicación con las partes, y en particular el primer emplazamiento a quien debe ser parte en el procedimiento, no ha sido todo lo diligente que era de esperar y, además, se ha incumplido la prevención del apartado 1 del art. 155 LEC, que impone que el primer emplazamiento se haga en el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denuncia la vulneración del derecho a la tutela judicial efectiva sin indefensión del art. 24.1 CE, en cuanto a los avisos que preceden las notificaciones por incumplir los arts. 16.2, 16.3 y 21.2 a) del Real Decreto 1065/2015, de 27 de noviembre, sobre comunicaciones electrónicas en la administración de justicia en el ámbito territorial del Ministerio de Justicia y por el que se regula el sistema Lexnet de la Ley de enjuiciamiento civil. En este sentido, subraya que en el primer aviso de emplazamiento enviado a la sede electrónica con fecha de 24 de mayo de 2017, ni tan siquiera se indicó el tipo de procedimiento, la naturaleza del emplazamiento o las consecuencias de no recibir la notificación durante los tres días siguientes a su puesta a disposición del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“este aviso, máxime cuando es el primer emplazamiento, no constituye un mero formalismo, pues su finalidad es que la demandada, en este caso mi representada, hubiera podido adoptar la conducta procesal oportuna y debe ser un instrumento que facilite la defensa en el proceso de los derechos e intereses cuestionados, por lo que su correcta ejecución indudablemente reviste una especial trascendencia y los órganos judiciales deben asegurarse de que sirven a su propósito (en este sentido, SSTC de 27 de abril de 2010 y de 16 de julio de 2009)”. En este mismo sentido, recuerda que los órganos judiciales tienen el deber específico de adoptar todas las cautelas y garantías que resulten razonablemente adecuadas para que la comunicación con el interesado sea real y efectiva y asegurar que esa finalidad no se frustre por causas ajenas a la voluntad de los sujetos a quienes afecte, sin que ello signifique exigirles el despliegue de una desmedida labor investigadora que pudiera conducir a la indebida restricción de los derechos de defensa de los restantes personados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situación de indefensión afirma que le han causado las posteriores notificaciones electrónicas, insistiendo en denunciar que “desde el inicio del proceso ejecutivo, el artículo 16.2 del Real Decreto 1065/2015, de 27 de noviembre, se ha vulnerado sistemáticamente, siendo notificaciones defectuosas, confusas, erróneas en cuanto a los términos y plazos, ya que los avisos han sido incompletos y han llevado a una grave confusión, confiando de manera equivocada a mi representada y que le han causado indefensión. Teniendo en cuenta que mi representada a pesar de que es una persona jurídica, no es profesional del Derecho, y que las notificaciones recibidas en sede electrónica y sus avisos no habían hecho más que comenzar a andar a primeros de 2017 cuando pasó a ser obligatoria esta forma de comunicación, con la implantación de las nuevas tecnológicas en el ámbito de la administración de justicia le ha causado a mi representada una vulneración de sus derechos constitucionales viéndose afectada o lesionada, por el devenir de las nuevas aplicaciones tecnológicas”.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la mercantil demandante de amparo, dichos avisos son notificaciones defectuosas que vulneran el art. 24 CE, porque han impedido el cumplimiento de la finalidad de los actos de comunicación procesal en términos que permitan realizar alegaciones o formular los recursos oportunos. En tal sentido, es reiterada la doctrina constitucional que exige a los órganos judiciales no solo que velen por la práctica de esos actos con sujeción a sus requisitos legales, sino que, además, se aseguren de que sirven a su propósito, de forma que, efectivamente, el acto de comunicación procesal llegue al conocimiento de su destinatario, debiendo desplegar la oportuna diligencia y actividad dirigida a asegurarse de que se ha cumplido con la finalidad perseguida con el acto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subrayar que en la demanda, al amparo del art. 56.2 de la Ley Orgánica del Tribunal Constitucional (en adelante, LOTC) se solicita por medio de otrosí la suspensión del procedimiento de ejecución hipotecaria, “evitando la entrega de la posesión del inmueble”, pues esta podría hacer perder al recurso de amparo su finalidad, causando perjuicios de muy difícil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2019 la Sección Cuarta de este tribunal acordó admitir a trámite el recurso de amparo, apreciando que concurre en el mismo una especial trascendencia constitucional (art. 50.1 LOTC) porque el recurso plantea un problema o afecta a una faceta de un derecho fundamental sobre el que no hay doctrina de este tribunal [STC 155/2009, FJ 2 a)] y porque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habiéndose interesado ya la remisión de certificación de las actuaciones judiciales, se ordena dirigir atenta comunicación al Juzgado de Primera Instancia e Instrucción núm. 4 de Murcia a fin de que, en plazo que no exceda de diez días, proceda a emplazar a quienes hubieran sido parte en el procedimiento, excepto la parte recurrente en amparo, para que, si lo desean, puedan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de 28 de octubre de 2019, la Sección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traslado fue cumplimentado por la parte demandante de amparo, quien mediante escrito presentado el 5 de noviembre de 2019, reiteró la necesidad de evitar la entrega de la posesión del inmueble al banco ejecutante para evitar daños y perjuicios de imposible o muy difícil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escrito de 8 de noviembre de 2019, interesó que se adoptara únicamente la medida de anotación preventiva de la demanda de amparo, pues de ese modo se asegura el fiel reflejo de la realidad, evitando situaciones cuya reversibilidad deviniera poco menos que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acordó por medio de ATC 178/2019, de 16 de diciembre, dictado por la Sala Segunda de este tribunal, denegar la suspensión solicitada y ordenar la anotación preventiva de la demanda de amparo en el registro de la propiedad, con remisión al referido juzgado para la expedición del mandamiento oportuno. Se considera, a tal efecto, que esta medida “se reputa idónea para evitar el perjuicio derivado de que la adquisición del bien por tercero lo hiciera irreivindicable, situación a la que se hace referencia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marzo de 2020, la Sección Cuarta de este tribunal acordó tener por personada y parte en el procedimiento a la procuradora doña Blanca María Grande Pesquero, en nombre y representación de Banco de Sabadell, S.A., quien lo había solicitado por escrito de fecha de 27 de noviembre de 2019. Igualmente, esta resolución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8 de junio de 2020, el Ministerio Fiscal presentó sus alegaciones ante este tribunal, solicitando la estimación del recurso de amparo. Tras llevar a cabo un análisis de la doctrina de este tribunal sobre la necesidad de proceder correcta y diligentemente en los actos de comunicación procesal (especialmente, las SSTC 6/2019 y 47/2019), para así garantizar el derecho de acceso a la jurisdicción (art. 24.1 CE) de quien ha sido demandado o pueda ser parte interesada en el procedimiento, entra a analizar la normativa aplicable a los actos de comunicación procesal, especialmente en el procedimiento de ejecución hipotecaria y concretamente los arts. 155 y 273 LEC. En este punto, concluye que las comunicaciones y aportaciones de documentos, tanto desde el órgano judicial hacia las partes como a la inversa, se realiza como una obligación para algunas partes como los profesionales de la Justicia y las personas jurídicas, y como un derecho para las que pudiendo optar lo hacen así. Ahora bien, subraya el fiscal que dicha regla posee excepciones como la de la primera notificación, pues en este caso lo que está en juego es la más elemental de las manifestaciones de la tutela judicial efectiva, a la que el legislador procesal no ha sido ajeno, estableciendo la obligación de notificación personal en el domicilio y respecto a las copias, su aportación en soporte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juicio del Ministerio Fiscal, en este caso el órgano judicial no debió prescindir de la notificación personal, mucho más cuando le fue reclamada en el pertinente recurso de revisión, en el que lejos de solventar la vulneración, reincidió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la estimación del presente recurso de amparo, la nulidad de lo actuado en el procedimiento de ejecución hipotecaria y la retroacción de las actuaciones al momento en el que se acordó notificar el auto despachando ejecución. El decreto del letrado de la administración de justicia y la copia de la demanda a través de la dirección electrónica habilitada, y en su lugar, se proceda a la notificación personal que exige el art. 155 LEC, con el fin de que se comunique a la mercantil demandante de amparo lo allí acordado y se le otorgue la posibilidad de ejercer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9 de julio de 2020, la entidad ejecutante Banco de Sabadell, S.A., presentó sus alegaciones. En primer lugar, muestra su disconformidad con las realizadas de contrario, por entender que no se ha vulnerado el derecho a la tutela judicial efectiva (art. 24.1 CE), no pudiendo sostenerse que la recurrente no tuviera conocimiento del emplazamiento realizado en fecha 24 de mayo de 2017, porque del examen de las actuaciones resulta acreditado que la mercantil ejecutada fue correctamente emplazada mediante la sede judicial electrónica, habiendo sido enviada la cédula de requerimiento, el auto y el decreto despachando la ejecución hipotecaria, la demanda y todos los documentos acompañados a la misma. Por lo demás, consta su recepción el día 26 de mayo de 2017 y que fue retirada en fecha 30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financiera recuerda que son muy numerosas las resoluciones de este tribunal que insisten en que no puede invocarse indefensión cuando la razón de la misma se debe de manera relevante a la propia inactividad o negligencia de la parte, a la falta de diligencia procesal exigible al lesionado o a su propia voluntaria actuación desacertada, equivocada o errónea. Por consiguiente, habiendo quedado demostrado que las resoluciones en virtud de las cuales la mercantil ejecutada fue emplazada por primera vez fueron debidamente notificadas a través de la sede judicial electrónica, de conformidad con lo prevenido en los arts. 152.2, 161.1, 273.3 LEC, arts. 4 y 11 del Real Decreto 1065/2015, de 27 de noviembre, sobre comunicaciones electrónicas en la administración de justicia en el ámbito territorial del Ministerio de Justicia y por el que se regula el sistema el sistema Lexnet y art. 230 de la Ley Orgánica del Poder Judicial, no resulta procedente 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mercantil demandante de amparo Grupo Inversiones Nicolás Serrano, S.L., presentó escrito de alegaciones con fecha 9 de julio de 2020, en el que exclusivamente se ratifica íntegramente la demanda de amparo constitucional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febrero de 2021 se señala para votación y fallo del presente recurso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14 de mayo de 2019, dictado por el Juzgado de Primera Instancia e Instrucción núm. 4 de Murcia, que desestima el recurso de revisión y el incidente excepcional de nulidad de actuaciones subsidiario, promovidos por la actora en el procedimiento de ejecución hipotecaria núm. 48-2017, instado por la entidad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denuncia que el auto impugnado ha vulnerado su derecho a la tutela judicial efectiva y a no sufrir indefensión (art. 24.1 CE) en una doble dimensión: (i) porque entiende que, tratándose del primer emplazamiento, debió comunicársele el despacho de ejecución de manera personal en su domicilio, con copia en soporte papel de la demanda y del resto de los documentos; y (ii) porque las notificaciones electrónicas que se han realizado hasta el momento son defectuosas.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estimar el recurso y declarar que el citado derecho fundamental ha sido vulnerado, dado que el art. 155 LEC obliga a realizar una notificación personal cuando se trata del primer emplazamiento del demandado, so pena de vulnerar su derecho a la jurisdicción y causarle indefensión. Por su parte, la entidad Banco de Sabadell, S.A., solicita su desestimación, por entender que la ejecutada fue correctamente emplazada mediante la sede judicial electrónica y que si no tuvo conocimiento de la existencia del procedimiento fue debido a su propia negligencia.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los actos de comunicación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exponen tanto la demandante de amparo, como el Ministerio Fiscal, este tribunal ya ha tenido ocasión de pronunciarse sobre la cuestión planteada en numerosas resoluciones. La primera fue la STC 47/2019, de 8 de abril, FFJJ 3 y 4, analizando el problema respecto de la Ley reguladora de la jurisdicción social (art. 56 LJS), que se remite en cuanto a la utilización de medios electrónicos a lo previsto con carácter general en la Ley de enjuiciamiento civil (en adelante,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estudiar en el proceso laboral la posible incidencia de las comunicaciones procesales telemáticas en el derecho a la tutela judicial efectiva, el Tribunal Constitucional ha considerado, “en línea con lo anticipado en la STC 6/2019, de 17 de enero, FJ 3, dictada por el Pleno de este tribunal, que, si bien dicha ley procesal impone a la personas jurídicas la obligación general de comunicar con la administración de justicia a través de medios electrónicos [art. 273.3 a) LEC], el régimen jurídico específicamente aplicable al primer emplazamiento es el del art. 155.1, 2 y 3 LEC y del art. 273.4, párrafo 2, LEC, que exigen la ‘remisión al domicilio de los litigantes’ (art. 155.1 LEC), estableciendo de forma específica, tanto la obligación de hacer constar en la demanda o en la petición o solicitud con la que se inicie el proceso ‘el domicilio del demandado, a efectos del primer emplazamiento o citación de este’ (art. 155.2 LEC), como la de presentar en papel ‘los escritos y documentos que se presenten vía telemática o electrónica que den lugar al primer emplazamiento, citación o requerimiento del demandado’ (art. 273.4, párrafo 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citada STC 47/2019 —y en todas las posteriores a ella— hemos aclarado que “no se ha de llevar a cabo por medios electrónicos la comunicación al demandado aún no personado en el procedimiento, en cuanto al acto de citación o emplazamiento, conforme a lo previsto en el art. 155.1 LEC, los cuales ‘se harán por remisión al domicilio de los litigantes’, regla que también opera en el proceso laboral (art. 53.1 LJS)”. Además, ha declarado que la ignorancia de esta excepción legal a la regla general de utilización de medios electrónicos puede producir la vulneración del derecho a la tutela judicial efectiva, en su dimensión de acceso al proceso, cuando, en los términos generales de nuestra doctrina, impide la adecuada constitución de la relación jurídica procesal, dando lugar a la tramitación del procedimiento inaudita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reiterado esta doctrina en todos aquellos asuntos que nos han llegado provenientes de la jurisdicción civil. Así, en la STC 122/2019, de 28 de octubre, FJ 3, recordamos que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30/2014, de 24 de febrero, FJ 3, con expresa cita de la precedente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este tribunal solo puede volver a reiterar lo tantas veces declarado. Esto es, que “[e]l hecho de que, por imperativo legal (los sujetos mencionados en el art. 273.3 LEC) tengan que actuar en el proceso sirviéndose de esas vías tecnológicas y que, de acuerdo a lo previsto en el art. 152.2 LEC, ello dé lugar a que los actos de comunicación también se deban practicar por medios electrónicos, no autoriza a entender, con fundamento en ese deber de relacionarse con la administración de justicia por medios electrónicos o telemáticos, que esas personas y entidades queden constreñidos, en cualquier caso y circunstancia, a recibir los actos de comunicación a través de esos medios, hasta el extremo de quedar neutralizada la regulación legal especialmente prevista, sin distinción de supuestos o sujetos, para las primeras citaciones o emplazamientos del demandado en el art. 155.1 y 2 LEC. Tan es así que, por su vinculación a los poderes públicos, tras la publicación el 19 de mayo de 2019 en el ‘BOE’ de la STC 47/2019 (arts. 40.2 LOTC y 5.1 de la Ley Orgánica del Poder Judicial), la secretaría general de la administración de justicia del Ministerio de Justicia dirigió una comunicación el 21 de mayo de 2019 a las secretarías de gobierno del Tribunal Supremo, Audiencia Nacional y tribunales superiores de justicia de las comunidades autónomas, citando la STC 47/2019, en su fundamento jurídico 4, para que cuiden ‘que la doctrina interpretativa de las normas procesales reguladoras del primer emplazamiento de personas jurídicas sentada por el Tribunal Constitucional, cuyo obligado acatamiento impone la Ley Orgánica del Poder Judicial, sea observada en todas las oficinas judiciales del territorio’” (STC 19/2020, de 10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resulta aplicable al supuesto que analizamos, de manera que el Juzgado de Primera Instancia e Instrucción núm. 4 de Murcia debería haber efectuado la primera citación o emplazamiento de la mercantil Grupo de Inversiones Nicolás Serrano, S.L., por correo certificado con acuse de recibo en el domicilio designado por la demandante, en lugar de realizarla por medios telemáticos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En este sentido,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solo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 En tal sentido, hay que volver a incidir en que el órgano judicial tiene el deber de “asegurarse de que dichos actos sirven a su propósito de garantizar que la parte sea oída en el proceso” (SSTC 122/2013, de 20 de mayo, FJ 3; 167/2015, de 20 de julio, FJ 3, y STC 200/2016, de 28 de noviembre, FJ 4). Es obvio, ya se ha dicho, que esta doctrina es igualmente aplicable a aquellos casos en los que la primera citación, emplazamiento o notificación se realiza a través de medios telemáticos, porque no asegura su efectivo conocimiento por el destinatario y puede colocar al demandado en una situación de indefensión, contraria al art. 24 CE, en el caso de no poder acceder por cualquier causa a él no imputable, a los escritos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doctrina iniciada por la STC 47/2019, de 8 de abril, debe aplicarse al presente recurso de amparo y, en consecuencia, debe declararse la vulneración del derecho a la tutela judicial efectiva sin indefensión (art. 24.1 CE) de la demandante y estimar el presente recurso de amparo. Por ello, de conformidad con lo establecido en el art. 55 LOTC, procede declarar la nulidad del auto del Juzgado de Primera Instancia e Instrucción núm. 4 de Murcia, de fecha 14 de mayo de 2019, por el que se desestima el recurso de revisión contra el decreto de adjudicación del bien ejecutado y subsidiario incidente excepcional de nulidad de actuaciones, promovido en el procedimiento de ejecución hipotecaria núm. 48-2017, acordando la retroacción de las actuaciones hasta el dictado del auto de 15 de marzo de 2017 despachando la ejecución, a fin de que se proceda de nuevo al emplazamiento de la mercantil recurrente, por los medios previstos en la Ley de enjuiciamiento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Grupo Inversiones Nicolás Serrano,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14 de mayo de 2019, dictado por el Juzgado de Primera Instancia e Instrucción núm. 4 de Murcia, en el proceso de ejecución hipotecaria núm. 48-2017, así como la nulidad de las actuaciones realizadas a partir del auto de 15 de marzo de 2017, por el que se acordó el despacho de la ejecución y el requerimiento de pago a la entidad deudora.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requerimiento de pago a Grupo de Inversiones Nicolás Serrano, S.L., debiendo llevarse a cabo su notificación a la parte ejecutada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