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6502-2019, promovido por Euroinversiones Inmobiliarias Costa Sur, S.L., contra el auto del Juzgado de Primera Instancia e Instrucción núm. 5 de Lorca, de 10 de enero de 2019, que inadmitió la demanda de oposición a la ejecución formulada por dicha mercantil, en el procedimiento de ejecución hipotecaria núm. 355-2018 instado por la entidad Banco de Sabadell, S.A., y contra el auto del mismo juzgado, de 23 de septiembre de 2019, que desestimó el recurso de reposición interpuesto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noviembre de 2019,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43.357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5 de Lorca, al que correspondió el conocimiento del proceso, dictó auto el 6 de junio de 2018 por el que acordó el despacho de ejecución (procedimiento de ejecución hipotecaria núm. 355-2018),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15 de junio de 2018, el servicio de notificaciones electrónicas de la Fábrica Nacional de Moneda y Timbre remitió un correo al buzón de la dirección electrónica habilitada de la entidad aquí recurrente en amparo, avisándole de una notificación del Juzgado de Primera Instancia e Instrucción núm. 5 de Lorca relativa al proceso “EJH/0000355/2018”, notificación a la que podía acceder entre los días 15 de junio a 31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25 de julio de 2018 por personal de la recurrente se accedió al enlace remitido por la dirección electrónica habilitada y, con ello, a la notificación enviada por el juzgado de primera instancia ejecutor en relación con el procedimiento hipotecario núm. 355-2018. También en esa fecha, la Fábrica Nacional de Moneda y Timbre emitió un certificado electrónico que obra en las actuaciones del proceso,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julio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5 de Lorca dictó auto el 10 de enero de 2019,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Penrei Inversiones, S.L., Euroinversiones Inmobiliarias Costa Sur, S.L., representada por el procurador don Antonio Serrano Caro por estar presentada fuera de plazo, contra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el representante procesal de la demandante de amparo se interpuso recurso de reposición contra el anterior auto. En el recurso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152.1.2.3,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ejecutor dictó auto el 23 de septiembre de 2019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[sic], las mismas desde el 1 de enero de 2017 (disposición transitoria cuarta de la Ley 42/2015, de 5 de octubre, de reforma de la LEC) están obligadas a relacionarse con la administración de justicia por medios electrónicos [art. 14.2 a) de la Ley 39/2015 LPACAP y art. 273.3 a)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Así el artículo 162.2 de la LEC ‘[e]n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exceptuarán aquellos supuestos en los que el destinatario justifique la falta de acceso al sistema de notificaciones durante ese periodo. Si la falta de acceso se debiera a causas técnicas y estas persistiesen en el momento de ponerlas en conocimiento, el acto de comunicación se practicará mediante entrega de copia de la resolución. En cualquier caso, la notificación se entenderá válidamente recibida en el momento en que conste la posibilidad de acceso al sistema. No obstante, caso de producirse el acceso transcurrido dicho plazo pero antes de efectuada la comunicación mediante entrega, se entenderá válidamente realizada la comunicación en la fecha que conste en el resguardo acreditativo de su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artículos 33.2 y 34 de la Ley 18/2011, de 5 de julio, reguladora del uso de las tecnologías de la información y la comunicación en la administración de justicia establecen que ‘[l]as comunicaciones a través de medios electrónicos se realizarán, en todo caso, con sujeción a lo dispuesto en la legislación procesal y serán válidas siempre que exista constancia de la transmisión y recepción, de sus fechas y del contenido íntegro de las comunicaciones, y se identifique con la autenticación que sea exigible al remitente y al destinatario de las mismas’; y ‘[e]l sistema de notificación permitirá acreditar la fecha y hora en que se produzca la salida y las de la puesta a disposición del interesado del acto objeto de notificación, así como de acceso a su contenido. En caso de que el acto de comunicación no pueda llevarse a cabo por medios electrónicos, se procederá a imprimir la resolución y la documentación necesaria, procediéndose a la práctica del acto de comunicación en la forma establecida en las leyes procesales e incorporándose a continuación el documento acreditativo de la práctica del acto de comunicación, debidamente digitalizado, al expediente judicial electrónico. En todo caso, el destinatario del acto de comunicación tendrá derecho a obtener copia de la documentación recibida en formato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11.2 del Real Decreto 1065/2015, de 27 de noviembre, sobre comunicaciones electrónicas en la administración de justicia en el ámbito territorial del Ministerio de Justicia y por el que se regula el sistema Lexnet determina que ‘[s]erá de aplicación a los actos de comunicación realizados a través de la sede judicial electrónica lo dispuesto en el artículo 162.2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resulta clarificador el acuerdo no jurisdiccional del Pleno de la Sala Cuarta del Tribunal Supremo de 6 de julio de 2016 (LA LEY 72866/2016): ‘Cuando haya constancia de la correcta remisión del acto de comunicación y transcurran tres días hábiles sin que el destinatario acceda a su contenido, se entenderá que la comunicación ha sido efectuada con plenos efectos procesales. Por tanto, constando correcta la remisión de la comunicación tal y como se constata por el letrado de la administración de justicia, el hecho de que el destinatario no hubiera accedido al contenido sino hasta el 9 de diciembre de 2017 no es determinante de nulidad de actos por cuanto la comunicación se entiende efectuada con plenos efectos procesales. Por todo ello se desestima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se han manifestado la Sección Tercera de la Audiencia Provincial de Palma de Mallorca (sentencia 180/2018), o las Secciones Cuarta y Quinta de la Audiencia Provincial de Murcia (auto 68/2018 y sentencia 109/2018, respectivamente), dando validez a la notificación a personas jurídicas por canales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el Informe 12/2018 de la Comisión de consultas doctrinales del Colegio de Registradores de la Propiedad respondiendo a una consulta elevada por el Centro de estudios hipotecarios de Murcia, con carácter doctrinal y dejando a salvo la libertad de calificación se llega a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exigencia legal de la fijación de un domicilio trata de conjugar la agilidad del procedimiento de ejecución, facilitando al acreedor el requerimiento al deudor, con la tutela judicial efectiva del mismo, evitando su indefensión, por lo que no se considerará obstáculo que impida la inscripción el hecho de que el requerimiento de pago al deudor, hipotecante no deudor o tercer poseedor, cuando se trate de personas jurídicas, se haya efectuado por medios electrónicos, siempre que del decreto se desprenda que este requerimiento se ha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ese requerimiento electrónico ha sido fallido, al menos cuando la persona jurídica a notificar o requerir no haya sido la impulsora del procedimiento y no conste inscrita una dirección electrónica, no puede considerarse que el mismo se ha realizado y, a efectos de la inscripción de la ejecución hipotecaria, debe exigirse que la notificación se haya intentado también en el domicilio que conste en el registro y, en su caso, en el domicilio real personal al que se ha referido este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trata, en todo caso, de que la notificación se realice efectivamente en la persona que deba recibirla, de modo que la circunstancia de que figure un domicilio en el registro a efectos de notificaciones únicamente trata de dar efectividad a esta comunicación, facilitando el desarrollo del procedimiento, pero sin que pueda considerarse un impedimento la circunstancia de que el requerimiento se efectúe por otros medios. A la inversa, la existencia de un domicilio electrónico, no puede excluir la posibilidad de efectuar la notificación en el domicilio personal pactado o real, si aquella resulta infructuosa.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mientras no se modifique el artículo 682 de la Ley de enjuiciamiento civil, no se considera que sea defecto la ausencia, en la escritura de constitución de hipoteca, del domicilio electrónico a efecto de las comunicaciones con las personas jurídicas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15/06/2018 no accediendo al contenido hasta el día 25/07/2018 (fuera de los tres días que establece la normativa procesal), presentando los escritos de oposición a la ejecución en fecha 31/07/2018 claramente fuera del plazo legalmente establecido en el art. 556.1 de la LEC (dentro de los diez días siguientes al de la notificación del auto despachando ejecución) y siendo que conforme al art. 136 de la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dicha resolución “es firme, y contra la misma no cabe recurso alguno”. Tanto este auto como el anterior de 10 de enero de 2019,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23 de septiembre de 2019,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23 de septiembre de 2019 que desestimó el recurso de reposición promovido contra la anterior resolución —y del que se han expuesto sus argumentos—, se rechaza por la recurrente que el juzgado haya fundamentado su segunda decisión en la Ley del procedimiento administrativo común, que considera inaplicable al ámbito procesal civil. Precisa que, en materia de notificación de actos procesales, existe una normativa propia detallada en la Ley de enjuiciamiento civil según ha expuesto, ensamblada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355-2018 seguido ante el Juzgado de Primera Instancia e Instrucción núm. 5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29 de junio de 2020 por la que acordó: (i) admitir a trámite el recurso, “apreciando que concurre en el mismo una especial trascendencia constitucional (art. 50.1 LOTC) porque el recurso plantea un problema o afecta una faceta de un derecho fundamental sobre el que no hay doctrina de este tribunal [STC 155/2009, FJ 2 a)], o bien que el recurso puede dar ocasión al tribunal para aclarar o cambiar su doctrina como consecuencia de cambios normativos relevantes para la configuración del contenido del derecho fundamental [STC 155/2009, FJ 2 b)]”; (ii) constatar que el testimonio de las actuaciones ya había sido remitido a requerimiento de la Secretaría de Justicia de la Sección y emplazar a través del juzgado ejecutor a quienes hubieren sido parte en el procedimiento excepto a la parte recurrente en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11 de septiembre de 2020,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de Sabadell, S.A., entendiéndose con dicha procuradora las actuaciones sucesivas de este proceso. Justificaba su petición en la escritura de cesión onerosa de créditos hipotecarios suscrita con Banco de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Cuarta de 28 de octubre de 2020 se acordó: (i) tener por personada y parte a la procuradora señora Munteanu en nombre y representación de la sociedad indicada y (ii) dar vista de las actuaciones recibidas a las partes personadas y al Ministerio Fiscal por plazo común de veinte días para presentar alegaciones de conformidad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el 30 de noviembre de 2020,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5 de Lorca, en el juicio de ejecución hipotecaria 355-2018”,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recurso “como uno de los que componen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2 de diciembre de 2020, por el que interesó se dictara resolución estimatoria del recurso de amparo, haciendo mención a la STC 40/2020, del Pleno del Tribunal Constitucional que resuelve el recurso de amparo 5377-2018 promovido por la misma parte Euroinversiones Inmobiliarias Costa Sur, S.L., “en un asunto prácticamente igual al del presente recurso de amparo” que refuerza las exigencias para llevar a efecto el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auto de la Sala Segunda de este tribunal núm. 108/2020, de 21 de septiembre,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11 de diciembre de 2020, dejando constancia de la presentación de los escritos de alegaciones del Ministerio Fiscal, del representante procesal de la recurrente en amparo y de su falta de presentación por la entidad recurrida,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e Instrucción núm. 5 de Lorca, de 10 de enero de 2019 y 23 de septiembre de 2019, recaídos en el proceso hipotecario núm. 355-2018.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dictada en sede de cuestión de inconstitucionalidad, y 47/2019, de 8 de abril, FJ 4 a), recaída en proceso de amparo,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10 de enero de 2019 y 23 de septiembre de 2019, dictados por el Juzgado de Primera Instancia e Instrucción núm. 5 de Lorca en el proceso de ejecución hipotecaria núm. 355-2018,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