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7132-2019, promovido por Euroinversiones Inmobiliarias Costa Sur, S.L., contra el auto del Juzgado de Primera Instancia e Instrucción núm. 4 de Lorca, de 15 de noviembre de 2018, que inadmitió la demanda de oposición a la ejecución formulada por dicha mercantil, en el procedimiento de ejecución hipotecaria núm. 368-2018 instado por la entidad Banco de Sabadell, S.A., y contra el auto del mismo juzgado, de 24 de octubre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diciembre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43.258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del proceso, dictó auto el 21 de junio de 2018 por el que acordó el despacho de ejecución (procedimiento de ejecución hipotecaria núm. 368-2018),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22 de junio de 2018, el servicio de notificaciones electrónicas de la Fábrica Nacional de Moneda y Timbre remitió un correo al buzón de la dirección electrónica habilitada de la entidad aquí recurrente en amparo, avisándole de una notificación del Juzgado de Primera Instancia núm. 4 de Lorca relativa al proceso “EJH/0000368/2018”, notificación a la que podía acceder entre los días 22 de junio a 7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julio de 2018 por personal de la recurrente se accedió al enlace remitido por la dirección electrónica habilitada y, con ello, a la notificación enviada por el juzgado de primera instancia ejecutor en relación con el procedimiento hipotecario núm. 368-2018.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29 de agosto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Lorca dictó auto el 15 de noviembre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representada por el procurador don Antonio Serrano Caro por estar presentada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ejecutor dictó auto el 24 de octubre de 2019 en desestimación del recurso de reposición, con los argumentos que expuso en su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Debe ser desestimado el recurso de reposición interpuesto por ser el auto por recurrido conforme a la normativa procesal vigente en materia de oposición a la ejecución (artículos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31de julio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citados como infringidos por la parte recurrente (arts. 135, 152, 162 y 273 y siguientes de la LEC) han sido perfectamente respetados en el presente procedimiento. La propia parte recurrente afirma estar obligada a utilizar los medios electrónicos en sus comunicaciones con el juzgado y afirma que la notificación se remitió a la dirección de correo electrónico ‘habilitada del titular a las que se refiere el art. 162 LEC, que tiene carácter de norma especial, destinada a regular los actos de comunicación por medios electrónicos o similares. No existiendo discusión ni duda acerca de la aplicabilidad de dicho precepto, al reconocer la propia recurrente la obligatoriedad en el uso de dichos medios en las relaciones con la administración de justicia, se llega a la conclusión de que lo dispuesto en el mismo es claro y ha sido respetado. Del propio documento núm. 1 aportado con el escrito interponiendo recurso de reposición y de las propias alegaciones vertidas por la recurrente, resulta la correcta recepción de la notificación en fecha 22 de junio de 2018, fecha en la que se materializó la ‘puesta a disposición’ de la notificación correctamente y del propio documento resulta que pasaron más de tres días desde la misma sin que se hubiera accedido al contenido hasta el día 31 de julio de 2018, por tanto, en aplicación estricta de lo dispuesto en el apartado segundo del art. 162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15 de noviembre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24 de octubre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24 de octubre de 2019 que desestimó el recurso de reposición promovido contra la anterior resolución —y del que se han expuesto sus argumentos—, se rechaza por la recurrente que el juzgado haya fundamentado su segunda decisión en una interpretación forzada y contradictoria de las normas procesales, al incluir indicaciones equívocas en el aviso de puesta a disposición, además de infringir las prescripciones sobre el primer emplazamiento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368-2018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4 de noviembre de 2020 por la que acordó: (i) admitir a trámite el recurso, “apreciando que concurre en el mismo una especial trascendencia constitucional [art. 50.1 de la Ley Orgánica del Tribunal Constitucional (LOTC)] porque el recurso plantea un problema o afecta una faceta de un derecho fundamental sobre el que no hay doctrina de este tribunal [STC 155/2009, FJ 2 a)], o bien que el recurso puede dar ocasión al tribunal para aclarar o cambiar su doctrina como consecuencia de cambios normativos relevantes para la configuración del contenido del derecho fundamental [STC 155/2009, FJ 2 b)]”; (ii) constatar que el testimonio de las actuaciones ya había sido remitido a requerimiento de la Secretaría de Justicia de la Sección y emplazar a través del juzgado ejecutor a quienes hubieren sido parte en el procedimiento excepto a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1 de febrero de 2021,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9 de febrero de 2021 se acordó: (i) tener por personada y parte a la procuradora doña María Claudia Munteanu en nombre y representación de la sociedad indicada y (ii) dar vista de las actuaciones recibidas a las partes personadas y al Ministerio Fiscal por plazo común de veinte días para presentar alegaciones de conformidad con lo previsto en el art. 52. 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4 de marzo de 2021, por el que interesó de este tribunal que dictara sentencia otorgando el amparo a la recurrente, con reconocimiento de la vulneración de su derecho a la tutela judicial efectiva sin indefensión (art. 24.1 CE), declarando la nulidad de “todo lo actuado desde la notificación efectuada electrónicamente del auto despachando ejecución acordado por el Juzgado de Primera Instancia e Instrucción núm. 4 de Lorca, en el juicio de ejecución hipotecaria 368-2018”,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12 de marzo de 2021, por el que interesó se dictara resolución estimatoria del recurso de amparo, haciendo mención a la STC 40/2020, del Pleno del Tribunal Constitucional que resuelve el recurso de amparo 5377-2018 promovido por la misma parte Euroinversiones Inmobiliarias Costa Sur, S.L., “en un asunto prácticamente igual al del presente recurso de amparo” que refuerza las exigencias para llevar a efecto el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auto de la Sala Segunda de este tribunal núm. 153/2020, de 30 de noviembre,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16 de marzo de 2021,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4 de Lorca, de 15 de noviembre de 2018 y 24 de octubre de 2019, recaídos en el proceso hipotecario núm. 368-2018.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15 de noviembre de 2018 y de 24 de octubre de 2019, dictados por el Juzgado de Primera Instancia e Instrucción núm. 4 de Lorca en el proceso de ejecución hipotecaria núm. 368-2018,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