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21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 Trevijano Sánchez, don Antonio Narváez Rodríguez, don Alfredo Montoya Melgar, don Ricardo Enríquez Sancho, don Cándido Conde-Pumpido Tourón y la magistrada doña María Luisa Balaguer Callejón en el recurso de inconstitucionalidad núm. 4261-2018, intrepuesto por el Gobierno de la Comunidad Autónoma de Aragón,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inconstitucionalidad núm. 4261-2018, interpuesto por el Gobierno de la Comunidad Autónoma de Aragón, contra diversos preceptos de la Ley 9/2017, de 8 de noviembre, de contratos del sector público, por la que se transponen al ordenamiento jurídico español las Directivas del Parlamento Europeo y del Consejo 2014/23/UE y 2014/24/UE, de 26 de febrero de 2014, se ha dictado la STC 68/2021 de 18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el Tribunal el 24 de marzo de 2021, la letrada de la Comunidad Autónoma de Aragón, al amparo de lo dispuesto en el art. 93 LOTC, solicitó la aclaración de la referida sentencia. La representación procesal del Gobierno de Aragón considera que, a pesar de que impugnó el art. 46.4 de la Ley 9/2017, de 8 de noviembre, de contratos del sector público, en su integridad, el tribunal únicamente se ha pronunciado sobre su párrafo segundo, declarándolo nulo e inconstitucional. Se aduce que este precepto fue recurrido por motivos diversos. Se alega que, aunque en el fundamento de derecho XI del escrito de interposición del recurso se fundamentó la inconstitucionalidad del párrafo segundo del art. 46.4 en que esta norma establecía una regulación supletoria y, que de acuerdo con la jurisprudencia constitucional (SSTC 118/1996 y 61/1997), el Estado carece de competencias para establecer este tipo de legislación, en el fundamento de derecho XII del referido escrito se alegó que este precepto era inconstitucional en su integridad porque vulneraba su potestad de autoorganización y sus competencias en materia de régimen local. Junto a ello se sostuvo que el art. 46.4 “infringe también la prohibición de introducir normativa de carácter supletorio”, señalándose a continuación “vicio de inconstitucionalidad al que ya se ha hecho alusión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Aragón sostiene que, en contra de lo declarado por el Tribunal al examinar la impugnación del art. 46.4 en la que afirma que “el párrafo segundo [es] el único expresamente cuestionado”, se recurrió el art. 46.4 en su totalidad y muy especialmente su párrafo tercero, por lo que solicita al tribunal que aclare su pronunciamiento en relación con el tercer párrafo del apartado cuarto del art. 46.4 de la Ley 9/2017, de 8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contra las sentencias del Tribunal Constitucional no cabe recurso alguno, pero en el plazo de dos días a contar desde su notificación las partes podrán solicitar al tribunal la aclaración de sus sentencias. Como ha señalado reiteradamente la jurisprudencia de este tribunal, el objeto de la solicitud de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(AATC 235/2014, de 7 de octubre; 83/2020, de 21 de julio,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fundamento jurídico 9 de la sentencia se examinan las impugnaciones relativas a las normas de carácter supletorio. En su apartado C, se enjuicia específicamente la vulneración constitucional que por este motivo se imputa al art. 46.4, limitándose su análisis a su párrafo segundo, pues solo respecto de este párrafo se plantea este motivo de inconstitucionalidad. Por ello, al imputarse esta infracción constitucional únicamente al párrafo segundo, no a los otros párrafos de este precepto, la sentencia afirma que es “el único cuestionado por el Gobierno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fundamento jurídico el Tribunal declaró inconstitucional y nulo este párrafo porque “el Estado no puede, excediendo el tenor de su título competencial en materia de contratación pública y penetrando en el ámbito reservado por la Constitución y los Estatutos a las comunidades autónomas, producir normas jurídicas meramente supletorias (STC 118/1996, FFJJ 6 y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por la que se adujo que el art. 46.4 vulnera las competencias de la Comunidad Autónoma de Aragón en materia de autoorganización y en materia de régimen local ha de entenderse implícitamente desestimada. Como reconoce el propio Gobierno de Aragón cuando fundamenta la impugnación relativa al art. 44, el art. 46, al permitirle establecer las normas competenciales para la resolución del recurso especial, respeta su potestad de autoorganización. Estas competencias no resultan vulneradas porque el párrafo tercero del art. 46.4 prevea la posibilidad de que los ayuntamientos de los municipios de gran población a los que se refiere el artículo 121 de la Ley 7/1985, de 2 de abril, reguladora de las bases del régimen local, y las diputaciones provinciales puedan crear un órgano especializado para la resolución de este recurso especial, que es el motivo en el que el Gobierno aragonés fundamenta la inconstitucionalidad del apartado tercero del art. 46.4. Esta norma, en virtud de las competencias que atribuye al Estado el art. 149.1.18 CE para establecer las bases del régimen jurídico de las administraciones públicas, se limita a prever la posibilidad de creación de un órgano especializado por parte de los citados entes locales, así como su régimen jurídico básico —atribuye al pleno de la corporación la competencia para acordar su creación y nombrar y remover a sus miembros—, remitiendo, en todo lo demás, a la legislación autonómica su regulación, por lo que no puede considerase lesiva de la competencias de la Comunidad Autónoma de Aragón en materia de régimen local.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