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28 de abril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el magistrado don Andrés Ollero Tassara, presidente, y la magistrada doña María Luisa Balaguer Callejón, en el recurso de amparo núm. 3123-2020, promovido por don José Manuel Ramírez Sineiro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3123-2020 se impugna sentencia de la Sala de lo Civil del Tribunal Supremo núm. 83/2020, de 5 de febrero de 2020, y la providencia de 15 de junio de 2020 dictada por la misma Sala por la que se inadmite el incidente de nulidad de actuaciones interpuesto contra la referida sentencia, dictadas en el recurso de casación núm. 1348-2019.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5 de abril de 2021 el magistrado don Santiago Martínez-Vares García comunicó a los efectos oportunos que se abstenía de intervenir en el antes indicado recurso de amparo, de conformidad con el artículo 80 de la Ley Orgánica del Tribunal Constitucional, por concurrir la causa de abstención prevista en el artículo 219.9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Santiago Martínez-Vares García, magistrado de esta Sección Segunda del Tribunal Constitucional, la Sección, en virtud de lo previsto en el artículo 219.9 de la Ley Orgánica del Poder Judicial,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Santiago Martínez-Vares García en el recurso de amparo núm. 3123-2020,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