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10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7528-2019, promovido por Euroinversiones Inmobiliarias Costa Sur, S.L., contra el auto del Juzgado de Primera Instancia e Instrucción núm. 4 de Lorca, de 14 de noviembre de 2018, que inadmitió la demanda de oposición a la ejecución formulada por dicha mercantil, en el procedimiento de ejecución hipotecaria núm. 349-2018 instado por la entidad Banco de Sabadell, S.A., y contra el auto del mismo juzgado, de 30 de octubre de 2019, que desestimó el recurso de reposición interpuesto contra la anterior resolución. Ha intervenido el Ministerio Fiscal. Se ha personado la entidad Pera Assets Designated Activity Company, actuando como sucesora procesal del banco ejecutante.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diciembre de 2019, la procuradora de los tribunales doña Blanca Berriatua Horta, actuando en nombre y representación de Euroinversiones Inmobiliarias Costa Sur, S.L., bajo la defensa del letrado don Marcelino Gilabert García,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registral núm. 43.427, inscrita en el Registro de la Propiedad núm. 3 de Lorca, resultando la primera de las demandadas la deudora hipotecaria y, la segunda, titular de un derecho de uso y disfrute sobre dicho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4 de Lorca, al que correspondió el conocimiento del proceso, dictó auto el 18 de junio de 2018 por el que acordó el despacho de ejecución (procedimiento de ejecución hipotecaria núm. 349-2018),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20 de junio de 2018, el servicio de notificaciones electrónicas de la Fábrica Nacional de Moneda y Timbre remitió un correo al buzón de la dirección electrónica habilitada de la entidad aquí recurrente en amparo, avisándole de una notificación del Juzgado de Primera Instancia e Instrucción núm. 4 de Lorca relativa al proceso “EJH/0000349/2018”, notificación a la que podía acceder entre los días 20 de junio a 5 de agosto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27 de julio de 2018, dentro del plazo concedido para acceder a la notificación, la recurrente accedió a la página web indicada en el aviso de puesta a disposición de la notificación, y procedió a la descarga de la misma, emitiéndose por el servicio de notificaciones electrónicas y dirección electrónica habilitada de la Fábrica Nacional de Moneda y Timbre el pertinente certificado electrónico, que acredita el conocimiento por la destinataria del auto de despacho de ejecución, del decreto de igual fecha, del requerimiento de pago, así como de la demanda y demás documentos acompañados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28 de agosto de 2018, el representante procesal de la demandante de amparo presentó ante el juzgado a quo el escrito de oposición al despacho de ejecución, acompañando una serie de documentos. Respecto del cómputo del plazo, entiende que al haber sido notificada en fecha de 27 de julio de 2018, y siendo agosto mes inhábil, el plazo para la presentación de la oposición a la ejecución hipotecaria vencía el día 12 de septiembre de 2018, por lo que la oposición estaba presentada dentro del plazo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e Instrucción núm. 4 de Lorca dictó auto, el 14 de noviembre de 2018, inadmitiendo el escrito de oposición a la ejecución, al considerar precluido el trámite (arts. 134 y 136 LEC, en relación con el art. 695 LEC). Así, sostiene que debió haberse planteado la oposición dentro de los diez días siguientes a la notificación del auto y decreto por el que se despachó la ejecución (de fecha de 20 de junio de 2018) y la ejecutada lo hizo con fecha de 28 de agosto de 2018, es decir, pasado el término concedido para ello. Como pie de recurso, se ofrecía recurso de reposición en el plazo de cinco días ante el mismo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representante procesal de la demandante de amparo interpuso recurso de reposición contra el anterior auto, denunciando la vulneración del art. 24 CE y sosteniendo que la notificación y requerimiento de pago tuvo lugar cuando accedió al contenido de la notificación electrónica remitida y no antes, siendo desde entonces que cabía computar el plazo de diez días del art. 556 de la Ley de enjuiciamiento civil (en adelante, LEC). Con invocación también de los arts. 135, 152.1.2.3, 155.2, 162 y 273 LEC, y doctrina de este Tribunal Constitucional sobre el derecho a no padecer indefensión y la importancia de los actos de comunicación procesal, afirmó que de no tener el juzgado por formulada su demanda de oposición al despacho de ejecución, se vulneraría su derecho a la tutela judicial efectiva y sin indefensión, quedando denunciado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de 30 de octubre de 2019, el juzgado dictó auto desestimatorio del recurso de reposición, al constatar la condición de persona jurídica de la ejecutada y, como tal, su obligación de relacionarse con la administración de justicia por medios electrónicos, de conformidad con lo previsto en la disposición transitoria cuarta de la Ley 42/2015, de 5 de octubre, de reforma de la Ley 1/2000, de 7 de enero, de enjuiciamiento civil así como en el artículo 14.2 de la Ley 39/2015 y el Real Decreto 1065/2015, de 27 de enero, sobre comunicaciones electrónicas en la administración de justicia en el ámbito territorial del Ministerio de Justicia y por el que se regula el sistema Lexnet. En su fundamento jurídico único confirma la corrección de los actos de comunicación remitidos de forma telemática y considera que la propia recurrente admite que de “la obligatoriedad en el uso de dichos medios en las relaciones con la administración de justicia, se llega a la conclusión de que lo dispuesto en el mismo es claro y ha sido respetado. Del propio documento núm. 1 aportado con el escrito interponiendo recurso de reposición y de las propias alegaciones vertidas por la recurrente, resulta la correcta recepción de la notificación en fecha 20 de junio de 2018, fecha en la que se materializó la `puesta a disposición´ de la notificación correctamente y del propio documento resulta que pasaron más de tres días desde la misma sin que se hubiera accedido al contenido hasta el día 27 de julio de 2018, por tanto, en aplicación estricta de lo dispuesto en el apartado segundo del art. 162 LEC, sin que se haya justificado por el recurrente una imposibilidad de acceder al sistema en este plazo. Por todo ello debe ser desestimado el recurso interpuesto, al ser el auto recurrido plenamente ajustado a derecho, al inadmitir un recurso que fue presentado fuera de plazo cuando ya había precluído la posibilidad 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indicaba que dicha resolución “es firme, y contra la misma no cabe recurso alguno”. Tanto este auto como el anterior de 14 de noviembre de 2018, fueron notificados por el juzgado al procurador de la demandante de amparo a través del sistema Lexnet, tal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así el auto de 30 de octubre de 2019, por la indicada mercantil se interpuso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y sin indefensión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el proceso,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 Para la recurrente, el órgano judicial habría incumplido su obligación de asegurar, no ya la legalidad formal de los actos de comunicación, sino el cumplimiento efectivo de su finalidad constitucional. La demanda solicita por otrosí la suspensión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Tercera de este tribunal dictó diligencia de ordenación el 31 de enero de 2020, solicitando al juzgado a quo la remisión, a la mayor brevedad posible, de certificación o copia adverada de las actuaciones correspondientes al procedimiento de ejecución hipotecaria seguido en ese juzgado con el número 349-2018.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la Sección Tercera de este tribunal dictó providencia el 15 de octubre de 2020 por la que acordó: (i) admitir a trámite el recurso, “apreciando que concurre en el mismo una especial trascendencia constitucional (art. 50.1 LOTC) el recurso puede dar ocasión al tribunal para aclarar o cambiar su doctrina como consecuencia de cambios normativos relevantes para la configuración del contenido del derecho fundamental [STC 155/2009, FJ 2 b)]”; (ii) constatar que el testimonio de las actuaciones ya había sido remitido a requerimiento de la Secretaría de Justicia de la Sección y emplazar a través del juzgado ejecutor a quienes hubieren sido parte en el procedimiento excepto a la parte recurrente en amparo, y (iii)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27 de enero de 2021, la procuradora de los tribunales doña María Claudia Munteanu con la asistencia letrada de don Alejandro Ingram Solís, actuando en nombre y representación de la entidad Pera Assets Designated Activity Company, solicitó se tuviera a esta última como personada y parte recurrida en lugar de la ejecutante Banco de Sabadell, S.A., entendiéndose con dicha procuradora las actuaciones sucesivas de este proceso. Justificaba su petición en la escritura de cesión onerosa de créditos hipotecarios suscrita con Banco de Sabadell, S.A., como cedente, otorgada el 23 de julio de 2019, y en su efectiva personación en el proceso de ejecución donde fue acordado su emplazamiento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la Secretaría de Justicia de la Sección Tercera de este tribunal, de 5 de febrero de 2021 se acordó: (i) tener por personada y parte a la procuradora señora Munteanu en nombre y representación de la sociedad indicada y (ii) dar vista de las actuaciones recibidas a las partes personadas y al Ministerio Fiscal por plazo común de veinte días para presentar alegaciones de conformidad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este Tribunal Constitucional, como ha hecho con el resto de recursos que conforman esta serie, presentó escrito de alegaciones el 4 de marzo de 2021, por el que interesó de este tribunal que dictara sentencia otorgando el amparo a la recurrente,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núm. 4 de Lorca, en el juicio de ejecución hipotecaria 349-2018”, y retroacción de las actuaciones al momento inmediato anterior a aquella notificación, “para que se le dé al recurrente posibilidad de formular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 el recurso “como uno de los que componen la serie de los interpuestos por Euroinversiones Inmobiliarias Costa Sur, S.L., y Penrei Inversiones, S.L., frente a diversos autos dictados en procedimientos hipotecarios tramitados por diferentes juzgados de primera instancia de Lorca, por idénticas vulneraciones” y recuerda, con cita de la STC 40/2020, del Pleno, de 27 de febrero, y de la STC 43/2020, de 9 de marzo, que algunos ya han sido resueltos por lo que, al concurrir identidad fáctica y jurídica, procedería aplicar la doctrina sentada en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representante procesal de la entidad recurrente presentó su escrito de alegaciones el 10 de marzo de 2021, por el que interesó se dictara resolución estimatoria del recurso de amparo, haciendo mención a la STC 40/2020, del Pleno del Tribunal Constitucional que resuelve el recurso de amparo 5377-2018 promovido por la misma parte Euroinversiones Inmobiliarias Costa Sur, S.L., “en un asunto prácticamente igual al del presente recurso de amparo” que refuerza las exigencias para llevar a efecto el primer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consta presentado dentro del plazo del art. 52 LOTC, o con posterioridad, ningún escrito de alegaciones de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Respecto de la solicitud de suspensión formulada por la recurrente en amparo mediante otrosí de su escrito de demanda, por auto de la Sala Segunda de este tribunal núm. 3/2021, de 25 de enero de 2021,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la Secretaría de Justicia se ha dictado diligencia el 14 de enero de 2021, dejando constancia de la presentación de los escritos de alegaciones del Ministerio Fiscal y del representante procesal de la recurrente en amparo,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fecha 6 de mayo de 2021,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aquellas,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Euroinversiones Inmobiliarias Costa Sur, S.L., impugna los autos del Juzgado de Primera Instancia e Instrucción núm. 4 de Lorca, de 30 de octubre de 2019 y de 14 de noviembre de 2018, recaídos en el proceso hipotecario núm. 349-2018.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del derecho fundamental a la tutela judicial efectiva (art. 24.1 CE), en sus vertientes de derecho a no padecer indefensión y a obtener una resolución fundada en Derecho, al no haberse efectuado aquel emplazamiento de manera personal y con entrega en papel de la documentación correspondiente, tal y como establecen las normas de la Ley de enjuiciamiento civil. Aduce otras dos quejas por lesión del derecho a un proceso con todas las garantías (art. 24.2 CE), en su faceta de defensa contradictoria; y el derecho a la asistencia letrada (art. 24.2 CE), ambas, sin embargo, carentes de soporte argumental propio. El Ministerio Fiscal, por su parte, interesa la estimación del amparo por el primer motivo, mientras que la entidad recurrida no ha efectuado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dictó, como afirma en trámite de alegaciones la recurrente en amparo y subraya el Ministerio Fiscal, la STC 40/2020, de 27 de febrero, en la que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por falta de agotamiento de la vía judicial previa al amparo [art. 44.1 a) LOTC], al no caber recurso contra el auto desestimatorio de la reposición y así indicarlo el pie de recurso de este, y no ser tampoco el amparo prematuro por interponerse sin esperar a la finalización del proceso ejecutivo hipotecario a quo, se aborda en el fundamento jurídico tercero el examen de la queja de fondo por lesión del art. 24.1 CE, derivada de la inadmisión del escrito de oposición a la ejecución, advirtiéndose que resulta de aplicación al caso la doctrina de este tribunal plasmada en sus SSTC 6/2019, de 17 de enero, FJ 4 a), dictada en sede de cuestión de inconstitucionalidad, y 47/2019, de 8 de abril, FJ 4 a), recaída en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tercero,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fundamento jurídico cuarto,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alegada conjunción con el plazo del art. 556 LEC. Todo lo cual determina la estimación del amparo por vulneración de su derecho fundamental a la tutela judicial efectiva sin padecer indefensión (art. 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Euroinversiones Inmobiliarias Costa Sur,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30 de octubre de 2019 y de 14 de noviembre de 2018, dictados por el Juzgado de Primera Instancia e Instrucción núm. 4 de Lorca en el proceso de ejecución hipotecaria núm. 349-2018,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