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131</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21 de junio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1921-2020, promovido por Penrei Inversiones, S.L., representada por la procuradora de los tribunales doña Blanca Berriatua Horta y asistida por la letrada doña Anju Nirmala Benavent Rodríguez, contra el auto del Juzgado de Primera Instancia e Instrucción núm. 1 de Lorca, de 3 de mayo de 2019, que desestima la oposición a la ejecución formulada por dicha mercantil, en el procedimiento de ejecución hipotecaria núm. 348-2018; y contra el auto de la Sección Primera de la Audiencia Provincial de Murcia, de 10 de febrero de 2020, que desestimó el recurso de apelación interpuesto contra la anterior resolución. Ha sido parte la entidad Pera Assets Designated Activity Company, representada por la procuradora de los tribunales doña María Claudida Munteanu y asistida del letrado don Alejandro Ingram Solís.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16 de abril de 2020, la procuradora de los tribunales doña Blanca Berriatua Horta, actuando en nombre y representación de Penrei Inversiones, S.L., interpuso recurso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las mercantiles Euroinversiones Inmobiliarias Costa Sur, S.L., y Penrei Inversiones, S.L., en relación con la finca registral núm. 43.459, sita en el término municipal de Lorca, resultando la primera de las demandadas la deudora hipotecaria y, la segunda, titular de un derecho de uso y disfrute sobre dicho inmueble. El procedimiento de ejecución hipotecaria se siguió ante el Juzgado de Primera Instancia e Instrucción núm. 1 de Lorca, bajo el núm. 348-2018.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Ambas sociedades formularon, en tiempo hábil, oposición al despacho de ejecución. La deducida por la recurrente se fundaba en su falta de legitimación para ser llamada al proceso por no hallarse en ninguno de los casos expresados en el apartado primero del art. 685 de la Ley de enjuiciamiento civil (LEC), al ostentar un mero derecho de uso. Los motivos de oposición alegados por ambas sociedades fueron resueltos por auto de 3 de mayo de 2019 que, en lo que al sostenido por la demandante de amparo se refiere, fue desestimado al constatar su condición de tercer poseedor adquirida con anterioridad a la interposición de la demanda ejecutiva.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ambas demandadas interpusieron sendos recursos de apelación, de los que conoció la Sección Primera de la Audiencia Provincial de Murcia, y que fueron desestimados por auto de 10 de febrero de 2020. En lo que afectaba a la sociedad Penrei Inversiones, S.L., descarta el órgano de apelación la infracción del art.685.1 LEC y subraya que, aunque, en efecto, esta apelante no era propietaria del bien hipotecado, ni siquiera hipotecante no deudora, debía ser llamada al proceso en atención a su condición de titular registral de un derecho de uso y disfrute de la finca hipotecada, posterior a la hipoteca, y que, en razón de tal derecho y circunstancias, la inscripción a su favor sería objeto de cancelación de consumarse la realización del bien, por lo que no ofrecía duda su condición de interesada en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Notificado el auto de 10 de febrero de 2020, por la indicada mercantil se interpuso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impugnadas causaron la vulneración del derecho de la entidad recurrente a la tutela judicial efectiva sin indefensión del art. 24.1 CE, en sus modalidades del derecho a un procedimiento con las debidas garantías y en la de obtener una resolución judicial motivada, que excluya interpretaciones arbitrarias, manifiestamente irrazonables o fruto de un error patente, que, en el caso, conecta con la vertiente de acceso a la jurisdicción por haber sido obligada a intervenir en un proceso judicial como demandada, pese a no encontrarse en ninguno de los supuestos de legitimación pasiva que expresa el art. 685.1 LEC. Percibe esta llamada como una imposición arbitraria y desproporcionada, por excesivamente formalista, e incompatible con el derecho de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“segundo otrosí digo”, el escrito de demanda argumentó “que la continuación de la ejecución derivadas (sic) de los pronunciamientos judiciales que han sido objeto de impugnación, con la celebración de subasta y la eventual adjudicación a terceros, pueden hacer perder al recurso de amparo su finalidad, por lo que solicitó la suspensión de la continuación del procedimiento de ejecución hipotecaria 348-2018 seguido ante el Juzgado de Primera Instancia e Instrucción núm. 1 de Lorca, hasta tanto sea resuelto el presente recurso de amparo, poniéndolo en conocimiento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recibidas las actuaciones, la Sección Segunda de este tribunal dictó providencia el 6 de julio de 2020, por la que acordó no admitirlo a trámite por no apreciar en el mismo la especial trascendencia constitucional que, como condición para su admisión, requiere el art. 50.1 b) de la Ley Orgánica del Tribunal Constitucional (LOTC) (STC 155/2009,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1 de septiembre de 2020, el fiscal ante el Tribunal Constitucional interpuso recurso de súplica frente a la providencia de inadmisión. Afirmaba, en síntesis, que el contenido de la demanda era idéntico al de otras muchas interpuestas por Penrei Inversiones, S.L. —demandante de amparo en este recurso—, o por Euroinversiones Inmobiliarias Costa Sur, S.L. —demandante de amparo en otros recursos—, contra resoluciones idénticas de diversos juzgados de primera instancia de Lorca, dictadas en diferentes procedimientos de ejecución hipotecaria en los que las demandantes son parte ejecutada y que habían sido admitidas a trámite por este tribunal, y alertaba sobre la contradicción lesiva de la seguridad jurídica asociada al distinto tratamiento observado en la providencia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presentado el 10 de septiembre de 2020, la sociedad recurrente expresó su conformidad con las alegaciones contenidas en el recurso de súplica del fiscal, añadiendo que la especial trascendencia constitucional del recurso derivaba de la desestimación por parte de los órganos judiciales de la falta de legitimación opuesta por dicha parte en el proceso de ejecución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Segunda del Tribunal Constitucional estimó el recurso de súplica por ATC 131/2020, de 22 de diciembre, y, al propio tiempo, acordó la admisión a trámite del recurso y la formación de la pieza separada para la tramitación del incidente de suspensión, concediendo el plazo de tres días a la recurrente y al Ministerio Fiscal para que alegaran lo que estimaran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Respecto de la solicitud de suspensión formulada por la recurrente en amparo, mediante otrosí de su escrito de demanda, en virtud del ATC 169/2020, de 14 de diciembre, la Sala denegó la suspensión cautelar solicitada del procedimiento de ejecución hipotecaria núm. 348-2018, acordando, no obstante, la anotación preventiva de la demanda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23 de octubre de 2020, la secretaría de justicia de la Sala Primera interesó de los órganos judiciales concernidos la remisión de testimonio de las correspondientes actuaciones, e instó del Juzgado de Primera Instancia e Instrucción núm. 1 de Lorca el previo emplazamiento de las partes intervinientes en el proceso, con excepción de la sociedad recurrente en amparo, para que pudieran comparecer en el plazo de diez días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en el registro de este tribunal el 3 de febrero de 2021, la procuradora de los tribunales doña María Claudia Munteanu, con la asistencia letrada de don Alejandro Ingram Solís, actuando en nombre y representación de la entidad Pera Assets Designated Activity Company, solicitó se tuviera a esta última como personada y parte recurrida en lugar de la ejecutante Banco Sabadell, S.A., y que se entendieran con ella las actuaciones sucesivas de este proceso. Justificaba su petición en la escritura de cesión onerosa de créditos hipotecarios suscrita con Banco Sabadell, S.A., como cedente, otorgada el 23 de julio de 2019, y en su efectiva personación en el proceso de ejecución donde fue acordado su emplazamiento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8 de febrero de 2021 se tuvieron por recibidas las actuaciones de los órganos judiciales requeridos, y por personada y parte en el procedimiento a la procuradora doña María Claudia Munteanu, en nombre y representación de la sociedad Pera Assets Designated Activity Company. Asimismo, se acordó dar vista de las actuaciones, de acuerdo con lo dispuesto en el art. 52 LOTC, al Ministerio Fiscal, a la parte personada y a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ante este Tribunal Constitucional presentó escrito de alegaciones el 10 de marzo de 2021, por el que interesó que se dictara sentencia denegando el amparo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identificar el recurso como “uno de los que componen la serie de los interpuestos por Euroinversiones Inmobiliarias Costa Sur, S.L., y Penrei Inversiones, S.L., frente a diversos autos dictados en procedimientos hipotecarios tramitados por diferentes juzgados de primera instancia de Lorca”, repara en la diferencia que ofrece este recurso respecto de los que conforman la serie aludida, pues, aunque la recurrente efectúe alguna mención al derecho de acceder a la jurisdicción, lo que realmente cuestiona es la arbitrariedad o el error patente en el que incurren los dos autos contra los que se plantea el recurso de amparo, como manifestación del derecho a la tutela judicial efectiva sin indefensión, del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Interpreta la queja como una especie de derecho de acceso en negativo, dado que lo que cuestiona la demandante de amparo es que se le haya obligado a ser parte en el proceso indebidamente. Recuerda que ese derecho de acceso a la jurisdicción no tiene una cara opuesta que pudiera definirse como el derecho fundamental a no ser traído a un procedimiento en el que no debía ser parte, “pues al contrario que en el primer caso, si se encuentra formando parte de la relación procesal, el ciudadano podrá plantear cualquier reivindicación jurídica, incluida la falta de legitimación pasiva, que es lo que sucedió en este caso, que Penrei Inversiones, S.L., lo planteó en las dos instancias, no se le causó por ello indefensión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el Ministerio Fiscal que la verdadera denuncia se sitúa en el ámbito de la motivación, percibida por la recurrente como arbitraria, errónea o irrazonable. Centrado así el objeto de la queja, recuerda la doctrina del tribunal sobre la motivación y el error patente y su tratamiento constitucional que, aplicada al caso objeto de su análisis, determina el rechazo del amparo solicitado por no darse ninguno de los calificativos negativos de las resoluciones judiciales cuestionadas pues descarta que estén inmotivadas, incurran en arbitrariedad, sean irrazonables o incurran en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representación procesal de la entidad recurrente presentó su escrito de alegaciones el 11 de marzo de 2021, en el que, tras reiterar las alegaciones efectuadas en el trámite ofrecido para sustanciar el recurso de súplica, interesó que se dictara resolución estimatoria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También el 11 de marzo de 2021 presentó su escrito de alegaciones la entidad Pera Assets Designated Activity Company, en el que expresaba su oposición al recurso de amparo; subrayaba el fundamento de la llamada al proceso de la sociedad recurrente en amparo no como deudora sino como titular de un derecho real inscrito a su favor, precisamente para evitar situaciones de indefensión que acarrearían inexorablemente la nulidad de las actuaciones. Abundaba en argumentos de derecho que justificaban esta llamada al proceso con cita de numerosas resoluciones de la Dirección General de los Registros y del Notariado y, destacadamente, de la doctrina recogida en la STC 79/2013, de 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providencia de 17 de junio de 2021,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la impugnación del auto del Juzgado de Primera Instancia e Instrucción núm. 1 de Lorca, de 3 de mayo de 2019, por el que se desestimó la oposición a la ejecución formulada por la entidad Penrei Inversiones, S.L., en el procedimiento de ejecución hipotecaria núm. 348-2018, en el que había sido demandada como titular inscrita de un derecho de uso y disfrute, y del auto de la Sección Primera de la Audiencia Provincial de Murcia, de 10 de febrero de 2020, que desestimó el recurso de apelación interpuesto contra la anterior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recurrente las decisiones judiciales han vulnerado su derecho a la tutela judicial efectiva (art. 24.1 CE), en su vertiente del derecho a una resolución motivada, no incursa en irrazonabilidad, arbitrariedad o error patente. También considera vulnerado el invocado derecho fundamental en su vertiente de acceso al proceso, en cuya formulación parece incluir el derecho a no ser llamado a este. Abunda en ese planteamiento, que justifica en el propio título objeto de ejecución, en tanto no menciona a la sociedad poseedora, y en el art. 685.1 LEC que, considera la demandante de amparo, acota el lado pasivo de la relación jurídica procesal dentro de las particularidades de la ejecución sobre bienes hipotecados o pignorados.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solicita la desestimación del recurso de amparo, pues, aunque admite que el recurso contiene alguna referencia a la tutela judicial efectiva en su modalidad del derecho de acceso a la jurisdicción, sin embargo, reconfigura esta vertiente al entender que lo que plantea la recurrente no es que se le haya privado de la posibilidad de acudir a los tribunales sino, al contrario, que se le haya obligado a ser parte, en una especie de derecho de acceso en negativo, considerando que la verdadera denuncia de la recurrente queda residenciada en un problema de motivación de las resoluciones que mantuvieron la procedencia de su llamada al proceso, en las que, a juicio del fiscal no concurre el vicio que se les imputa.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sociedad recurrida también solicita la desestimación del recurso de amparo, sosteniendo, en síntesis, que las resoluciones judiciales impugnadas contienen una motivación racional, lógica y preservadora del derecho fundamental invocado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Cuestión previa y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en el examen del fondo de la queja planteada por la demandante de amparo, es preciso aclarar una cuestión previa. Como bien señala el Ministerio Fiscal, en la demanda se invoca el derecho de acceso a la jurisdicción, alegando una vertiente negativa, en el sentido de un pretendido derecho a no ser parte en el procedimiento, al tiempo que se queja de un vicio en la motivación de las resoluciones impugnadas, que no se encontrarían fundadas en Derecho. En realidad, lo que aparentan ser dos quejas han de ser reconducida a una sola: el defecto en la motivación de las resoluciones judiciales, que han considerado parte a la actora en el procedimiento de ejecución hipotecaria, cuando, a su juicio, no debería haberlo sido, en virtud de un pretendido derecho negativo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Efectuada esta precisión previa, la cuestión queda, pues, reducida a determinar si la decisión adoptada por el órgano ejecutor, posteriormente ratificada en grado de apelación, de mantener al tercer poseedor en el proceso, vulneró el derecho fundamental de la recurrente a la tutela judicial efectiva (art. 24.1 CE), en la vertiente del derecho a una resolución motivada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valorar si la decisión judicial recurrida vulneró o no el derecho a la tutela judicial efectiva del art. 24.1 CE, en su vertiente de derecho a la motivación de las resoluciones judiciales, conviene recordar en primer término, la consolidada doctrina constitucional sobre el derecho a obtener de los órganos judiciales una resolución motivada como primaria garantía reconocida en el art. 24.1 CE: que contenga los elementos y razones de juicio que permitan conocer cuáles han sido los criterios jurídicos que fundamentan la decisión y que la motivación esté fundada en Derecho, exigencia que no queda cumplida con la mera emisión de una declaración de voluntad en un sentido u otro, sino que debe ser consecuencia de una exégesis racional del ordenamiento jurídico y no fruto de la arbitrariedad (por todas, STC 142/2012, de 2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los elementos de juicio que permiten conocer el criterio jurídico que justifique la llamada al proceso del tercer poseedor, como proyección concreta de la decisión judicial adoptada, también se ha pronunciado este tribunal desde muy temprana jurisprudencia iniciada con la STC 148/1988, de 14 de julio, hasta la más reciente STC 208/2015, de 5 de octubre, desde la óptica del derecho fundamental a la tutela judicial efectiva sin indefensión, en su vertiente de acceso a la jurisdicción (art. 24.1 CE). Lo relevante, más allá del plano de la legalidad infraconstitucional (art. 662.1 LEC), es el derecho del tercer poseedor a acceder al proceso, no que este lo ejercite una vez tiene conocimiento de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consolidada doctrina constitucional que el derecho reconocido en el art. 24.1 CE no garantiza la corrección jurídica de la interpretación y aplicación del Derecho llevada a cabo por los jueces y tribunales, pues no existe un pretendido derecho al acierto judicial en la selección, interpretación y aplicación de las normas, salvo que afecte al contenido de otros derechos constitucionales. Pero también hemos declarado en multitud de ocasiones que una resolución judicial vulnera el derecho a la tutela judicial efectiva cuando el razonamiento que la funda incurre en tal grado de arbitrariedad, irrazonabilidad o error que, por su evidencia y contenido, sean tan manifiestos y graves que para cualquier observador resulte patente que la resolución de hecho carece de toda motivación o razonamiento. En estos casos, ciertamente excepcionales, este tribunal incurriría en exceso de formalismo si admitiese como decisiones motivadas y razonadas aquellas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(SSTC 214/1999, de 29 de noviembre; y 133/2013, de 5 de junio, FJ 5,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Análisis de la pretensión de amparo: no apreciación de la vulneración del derecho a la tutela judicial efectiva sin indefensión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doctrina constitucional que acabamos de recordar, debemos dilucidar ahora si la motivación expresada por los órganos judiciales para mantener la validez de la llamada al proceso de la recurrente en su condición de tercer poseedor con título inscrito, es conforme con nuestro canon constitucional de motivación ex art. 24.1 CE. Dicho de otro modo, al igual que en otros supuestos semejantes, debe insistirse también ahora en que únicamente nos corresponde comprobar si la interpretación de las normas procesales efectuada por las resoluciones impugnadas es o no respetuosa con el derecho a la tutela judicial efectiva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anteriormente, la demandante de amparo considera que su llamada al proceso resulta irrazonable en virtud de una pretendida “vertiente negativa” del derecho de acceso a la jurisdicción. La visión de la cuestión que se realiza en la demanda resulta contradictoria con la doctrina de este tribunal en materia de acceso a la jurisdicción, especialmente en lo que se refiere al procedimiento de ejecución hipotecaria. En efecto, este tribunal ha declarado reiteradamente que el derecho a la tutela judicial efectiva sin indefensión (art. 24.1 CE) garantiza a todos los que puedan resultar afectados por la decisión que se dicte en un proceso judicial el derecho a conocer su existencia, a fin de que tengan la posibilidad de intervenir en él, ser oídos, y ejercer la defensa de sus derechos e intereses legítimos (por todas, STC 180/2015, de 7 de septiembre, FJ 4), sin perjuicio del pronunciamiento que pueda recaer y de la posible existencia de otras acciones que puedan corresponder a los afectados (STC 43/2010, de 26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en lo que se refiere al procedimiento de ejecución hipotecaria, hicimos hincapié en la STC 79/2013, de 8 de abril, FJ 3, en la idea de que “la validez global de la estructura procedimental de la ejecución hipotecaria en modo alguno admite excepciones al derecho de defensa de los interesados, no siendo admisibles lecturas restrictivas de la intervención de quienes son titulares de derechos e intereses legítimos, entre los que figuran los denominados legalmente como ‘terceros poseedores’”. Y, en su fundamento jurídico 4, sostuvimos que “una línea constante y uniforme de este tribunal en materia de acceso al proceso en general (art. 24.1 CE), y al procedimiento de ejecución hipotecaria en particular, ha promovido la defensa, dando la oportunidad de participar, contradictoriamente, en la fase de ejecución de este procedimiento especial, al existir una posición privilegiada del acreedor derivada de la fuerza ejecutiva del título”; posibilidad de intervenir que se refirió específicamente al tercer poseedor de la finca hipotecada. Así pues, de acuerdo con dicha doctrina, no cabe aceptar la vertiente negativa del derecho de acceso a la jurisdicción en la que pretende escudarse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respuesta ofrecida en las resoluciones judiciales recurridas en amparo no solo cumple el canon de motivación requerido, al contener los elementos y razones de juicio que permiten conocer los criterios jurídicos utilizados, sino que adecuan el sentido de su decisión a la doctrina constitucional sobre la concreta cuestión suscitada: la puesta en conocimiento del proceso de ejecución al tercer poseedor con título inscrito. La finalidad que preside dicho llamamiento tiene una doble faz: de un lado, asegurar el derecho fundamental a la tutela judicial efectiva de quienes el propio registro publicita como titulares de derechos inscritos; y, de otro, preservar la observancia de las garantías del proceso al propio ejecutante para evitar dilaciones en la tramitación inevitablemente asociadas a la falta de notificación al titular de derechos inscritos.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nos recuerda la STC 208/2015, de 5 de octubre, FJ 4, la personación en el proceso de ejecución hipotecaria del tercer poseedor, en cualquiera de sus modalidades asimiladas (art. 662.2 LEC), le faculta para que en cualquier momento anterior a la aprobación del remate o a la adjudicación al acreedor, pueda liberar el inmueble satisfaciendo lo que se deba al acreedor por principal, intereses y costas, dentro de los límites de la responsabilidad a que esté sujeto el bien (art. 662.3 LEC); intervenir en la subasta tomando parte en ella, instando su celebración (art. 691.1 LEC), presentar tercero que mejore la postura y promover el declarativo ordinario contra lo actuado en el proceso (698.1 LEC). Como es fácil de entender, si a este tercer poseedor no se le permite personarse en los autos, tampoco podrá tener intervención alguna en su desarrollo, ni, por consiguiente, ejercitar las facultades que la normativa que rige el procedimiento de ejecución hipotecaria le reconoce.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como razona en sus alegaciones el Ministerio Fiscal, el amparo debe ser rechazado, al no concurrir ninguna de las causas atribuidas a la motivación de las resoluciones judiciales cuestionadas, que se evidencia suficiente, razonable y no arbitraria, en cuanto coincidente con la doctrina constitucional en la materia, y, desde luego, sin conexión material con la doctrina sobre el error patente: error de hecho verificable e incontrovertible a partir de las actuaciones judiciales, y determinante de la decisión. La intervención del tercer poseedor resulta, como acontece en la mayoría de los procesos civiles, facultativa, pero es obvio que la lesión del derecho fundamental no la produciría su llamada al proceso, sino la omisión o negativa del órgano judicial a participárselo y, en su caso, a admitir su personación.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Penrei Inversiones, S.L.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junio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