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21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4265-2020, promovido por doña Rachida Kaouay, representada por el procurador de los tribunales don José Luis Ybancos Torres, bajo la dirección letrada de don José Antonio Palau Cuevas, contra la providencia de la Sección Séptima de la Audiencia Provincial de Málaga de 28 de julio de 2020, que no admitió a trámite el incidente de nulidad de actuaciones promovido frente a la sentencia de 24 de junio de 2020 (rollo de apelación núm. 16-2020), que revocó parcialmente la sentencia del Juzgado de lo Penal núm. 2 de Melilla de 26 de noviembre de 2019 (procedimiento abreviado núm. 87-2019), condenatoria de la recurrente como autora de un delito de tráfico de drogas.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José Luis Ybancos Torres, en nombre y representación de doña Rachida Kaouay, y bajo la dirección del letrado don José Antonio Palau Cuevas, interpuso recurso de amparo contra las resoluciones judiciales que se mencionan en el encabezamiento de esta sentencia, mediante escrito registrado en este tribunal el 9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fue condenada por sentencia de 26 de noviembre de 2019, del Juzgado de lo Penal núm. 2 de Melilla (procedimiento abreviado núm. 87-2019), como autora de un delito contra la salud pública del art. 368 del Código Penal (CP), en relación con el art. 369.1.5 CP, a la pena de dos años de prisión, inhabilitación especial para ejercer el sufragio pasivo durante el tiempo de la condena, y multa de 2 700 000 €, con seis meses de responsabilidad personal subsidiara para el caso de impago. En dicha resolución se acordaba, asimismo, la suspensión de la pena de prisión impuesta por un plazo de cuatro años (art. 80 CP), condicionando la misma a la no comisión de hechos delictivos durante el periodo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probados refieren que el día 4 de junio de 2015, tras un seguimiento previo, agentes de la Policía Local y de la Policía Nacional, efectuaron entrada y registro en una vivienda propiedad de la señora Kaouay, donde fueron incautados cuarenta y nueve paquetes de diferentes formas y tamaños con un peso total de 554 kilogramos de una sustancia que, una vez analizada, resultó ser hachís en la siguiente composición: (i) M1-Hachís con una riqueza media del 17,5 por 100 y con un peso neto de 298,89 gramos, valorado en 468 501,66 €; (ii) M2-Hachís con una riqueza media del 20 por 100 y con un peso neto de 86,40 gramos, valorado en 135 388,8 €; (iii) M3-Hachís con una riqueza media del 27,6 por 100 y con un peso neto de 132,60 gramos, valorado en 207 784,20 €; (iv) M4-Hachís con una riqueza media del 17,4 por 100 y con un peso neto de 34,30 gramos, valorado en 53 748,10 euros; (v) M5-Hachís con una riqueza media del 13,4 por 100 y con un peso neto de 965 gramos, valorado en 5307,50 €. El valor total de la sustancia en el mercado ilícito era de 870 307,26 €. La sentencia consignaba que la finalidad de la misma era ser distribuida posteriormente por la península.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segundo se califican penalmente los hechos como un delito contra la salud pública, previsto y penado en el art. 368 CP en relación con el art. 369.1.5 CP, en su modalidad de sustancias que no causan grave daño a la salud pública. En el fundamento jurídico tercero se motiva la individualización de la pena señalando que “[e]n el ámbito de la individualización penológica resultan de aplicación los artículos 368 y 66 CP; debiendo condenarse a la acusada, en relación a la comisión del referido delito contra la salud pública previsto y penado en el artículo 368 y 369.5 CP, en su ámbito mínimo, dadas las circunstancias personales y sociales de la misma, con la aplicación de la agravante del 369.1.5 CP, así como decomiso de la sustancia intervenida, y demás efectos, cumpliendo las penas adecuadamente las finalidades de prevención general y especial, estimando proporcional y adecuada a la vista de las características que revisten los hechos cometidos y la gravedad y repercusión social de los mismos y conforme a la petición de la parte acusadora”.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defensa de la recurrente interpuso recurso de apelación alegando: (i) infracción del derecho a obtener una resolución motivada; (ii) infracción del derecho a la presunción de inocencia por inexistencia de prueba para dictar sentencia condenatoria; (iii) nulidad de la entrada y registro practicada. El Ministerio Fiscal, por escrito calendado el 21 de enero de 2020, impugnó el recurso de apelación presentado interesando que se confirmara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24 de junio de 2020 fue dictada, por la Sección Séptima de la Audiencia Provincial de Málaga, sentencia desestimando el recurso de apelación presentado por la recurrente. Aceptando los hechos declarados probados de la sentencia recurrida, se constata un evidente error de transcripción en las cantidades de sustancia aprehendidas, y expone que deberá entenderse: (i) 298 980 gramos en lugar de 298,89; (ii) 86 400 gramos en lugar de 86,40; (iii) 132 600 gramos en lugar de 132,60; y (iv) 34 300 gramos en lugar de 34,30.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rechazar los motivos de nulidad de la entrada y registro domiciliaria y de lesión del derecho a la presunción de inocencia, la sentencia impugnada en amparo señalaba en su fundamento jurídico quinto: “Existe un claro error en la extensión de la pena impuesta. Siendo un supuesto en que ha de apreciarse la agravante de notoria importancia y en el que consiguientemente se ha de imponer la pena superior en grado, el mínimo a imponer es de tres años y de un día de prisión. Así pues, procederemos a corregir la pena impuesta, fijando su extensión mínima, de conformidad con la posibilidad declarada por el Pleno no Jurisdiccional de la Sala Segunda del Tribunal Supremo de 27 de diciembre de 2007, que literalmente dice ‘El anterior acuerdo de esta Sala, de fecha 20 de diciembre de 2006, debe ser entendido en el sentido de que el tribunal no puede imponer pena superior a la más grave de las pedidas por las acusaciones, siempre que la pena solicitada se corresponda con las previsiones legales al respecto, de modo que cuando la pena se omite o no alcanza el mínimo previsto en la ley, la sentencia de imponer, en todo caso, la pena mínima establecida para el delito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este razonamiento, la Sección Séptima de la Audiencia Provincial de Málaga revocaba parcialmente la sentencia impugnada, elevando la pena de los dos años de prisión inicialmente impuestos por el juzgado de lo penal, a tres años y un día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demandante de amparo se presentó el 3 de julio de 2020, escrito de preparación de recurso de casación por infracción de ley. Dicha preparación fue denegada por auto de 6 de julio de 2020 en base a que los hechos objeto de enjuiciamiento eran anteriores a la publicación y entrada en vigor de la Ley 41/2015, de 5 de octubre, que modificó el art. 792.4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interpuso incidente extraordinario de nulidad de actuaciones contra la sentencia de la Audiencia Provincial de Málaga. En dicho incidente se alegaba vulneración del derecho a la tutela judicial efectiva (art. 24.1 CE) por infracción del principio acusatorio y de prohibición de reformatio in peius, al haberse excedido el órgano de apelación de los límites en los que estaba planteado el recurso, acordando una agravación de la sentencia impugnada que tenía su origen en un recurso interpuesto por la propia recurrente. Tras consignar jurisprudencia constitucional sobre la materia, la recurrente señalaba: “En definitiva, la reforma peyorativa está constitucionalmente prohibida y el empeoramiento de la situación de la recurrente ha de resultar únicamente de la pretensión impugnatoria de la parte acusadora, tal cual sucede en el presente caso, en el que el recurso de apelación interpuesto contra la sentencia recaída en primera instancia, argumentaba como motivos impugnatorios la nulidad de la entrada y registro domiciliario y el error en la valoración de la prueba, siendo dicho recurso únicamente opuesto por el Ministerio Fiscal quien interesa mediante escrito de fecha 21 de enero de 2020 la confirmación de la sentencia recurrida por estimarla, por sus propios fundamentos, ajustada a derecho”. En relación con el fondo del asunto, la recurrente consideraba que la extensión de la pena fijada en primera instancia se había fundamentado en la aplicación conjunta del subtipo agravado del art. 369.1.5 CP y el subtipo atenuado del art. 368.2 CP, por lo que la Audiencia Provincial había incurrido en un error en la fijación de la pena finalmente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mediante providencia de 28 de julio de 2020 en la que se indicaba: “No ha lugar a admitir dicho incidente por cuanto lo que con él se pretende es abrir una vía de impugnación que no existe, dado que, como ya se dijo en auto que denegó tener preparado recurso de casación, los hechos juzgados son anteriores a la entrada en vigor de la posibilidad de usar dicho recurso. Por otra parte, la defensa de la promotora afirma que la juez de instancia apreció el tipo privilegiado del párrafo segundo del art. 368 CP cuando lo que literalmente recoge el fundamento jurídico tercero de la sentencia recurrida es que se trata de un ‘delito contra la salud pública previsto y penado en los arts. 368 y 369.1.5 CP’ lo que se repite en el fallo, de manera que no ha habido error de lectura y/o interpretación que permita sustentar el referido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aduce en su demanda que se ha vulnerado su derecho a la tutela judicial efectiva (art. 24.1 CE), en su vertiente de no padecer una reforma peyorativa, solicitando, por tanto, la nulidad del pronunciamiento de agravación de la condena mantenido por la sentencia de 24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se fundamentan en el argumento de que la interpretación que la Audiencia Provincial hizo del acuerdo de 27 de noviembre de 2007, del Pleno no jurisdiccional de la Sala Segunda del Tribunal Supremo, era contrario a la prohibición de reformatio in peius. Así, tras recordar que la parte acusadora (en ese caso, el Ministerio Fiscal) no había impugnado la sentencia dictada en primera instancia, la demandante de amparo señala que se habría producido una agravación de la condena en base al recurso de apelación de la propia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de amparo, la trascendencia constitucional del presente recurso estribaría en que “de no admitirse el amparo solicitado, la resolución del órgano jurisdiccional (Audiencia Provincial) si bien fundada en el Pleno de carácter no jurisdiccional de la Sala Segunda del Tribunal Supremo […] permitiría una reformatio in peius constitucionalmente prohibida cuando, como es el caso, la sentencia de instancia no es impugnada por la parte acusadora, donde el Ministerio Fiscal se limitó a solicitar la confirmación de dicha sentencia. Viene ello a configurar lo que la doctrina ha denominado la dimensión sustantiva de la trascendencia constitucional del asunto definida en el art. 50.1 b) LOTC”. En base a ello, la demandante de amparo considera que estaríamos ante un supuesto de negativa manifiesta a acatar la doctrina constitucional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14 de diciembre del 2020, acordó la admisión a trámite del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y, en consecuencia, dirigir atenta comunicación a la Sección Séptima de la Audiencia Provincial de Málaga, y al Juzgado de lo Penal núm. 2 de Melilla, a fin de que remitiesen certificación o fotocopia adverada de las actuaciones correspondientes. En la misma resolución se emplazó a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la formación de pieza separada de suspensión. Por auto de 15 de febrero de 2021, la Sala Primera de este tribunal acordó conceder la suspensión de la ejecución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24 de febrero de 2021, acordó dar vista de las actuaciones recibidas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26 de marzo de 2021, interesó que se otorgara el amparo por vulneración del derecho a la tutela judicial efectiva (art. 24.1 CE), con anulación de las resoluciones de 24 de junio de 2020, y de 28 de julio de 2020, y retroacción de las actuaciones al momento inmediatamente anterior al pronunciamiento de la primera de las citadas resoluciones, para que el órgano judicial dicte una nueva sentencia respetuosa con 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aduce que la lesión que habría padecido la recurrente comprendería la vulneración del derecho a la tutela judicial efectiva (art. 24.1 CE) desde la perspectiva de la prohibición de reformatio in peius y del principio acusatorio. Tras referenciar doctrina de este tribunal (el Ministerio Fiscal se remite a los argumentos acogidos en las SSTC 223/2015, de 2 de noviembre, FJ 2; 198/2009, de 28 de septiembre, FJ 2, y 47/2020, de 15 de junio, FJ 3), así como los antecedentes fácticos que dan lugar al presente de recurso amparo, el fiscal señala que la Audiencia Provincial carecía de habilitación para agravar la pena impuesta en primera instancia, toda vez que no tenía la cobertura derivada del propio recurso de apelación, ni existía petición de la acusación en dicho sentido. En este punto, mantiene —con cita de la STC 47/2020, de 15 de junio, FJ 3— que, aunque por el Ministerio Fiscal se había interesado la pena de tres años y nueve meses de prisión ante el Juzgado de lo Penal, dicha pretensión había quedado acotada a primera instancia sin haberse proyectado una reiteración de dicha petición en el recurso de apelación. Consecuentemente, “no cabía suplir la falta de nueva pretensión penológica agravatoria del Ministerio Fiscal en apelación, transmutando su conducta procesal de confirmación de la sentencia apelada en una implícita petición de la pena originaria en primera instancia, no solo no reiterada en segunda instancia sino contraria a la posición acusatoria mantenida en la apelación, siendo necesario una petición expresa y explicita que resultaba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el acuerdo no jurisdiccional del Pleno de la Sala Segunda del Tribunal Supremo invocado por la Audiencia Provincial no prestaría cobertura a la modificación agravatoria realizada. A esta conclusión llega en base a los siguientes argumentos: (i) para la aplicación del citado acuerdo es necesario una petición de pena. En este caso, la petición de pena se había producido ante el Juzgado de lo Penal y no ante la Audiencia Provincial a través del recurso de apelación. No resulta concebible considerar que la impugnación del recurso de apelación presentado por la condenada suponga una petición implícita de pena; (ii) la decisión de la Audiencia Provincial habría generado una situación de indefensión a la recurrente, toda vez que la concreción de la pena es una pretensión frente a la cual la recurrente ha de defenderse; (iii) la agravación deriva del recurso de apelación de la condenada, lo que es contrario al principio de seguridad jurídica en cuanto ha de respetarse la inmutabilidad de la sentencia en su perjuicio si no media recurso de parte contraria; y (iv) la agravación penológica tiene en este caso una especial relevancia si se tiene en cuenta que, precisamente, por el Juzgado de lo Penal se había dejado en suspenso el cumplimiento de la pena de dos años de prisión impuesta, y que la extensión de la nueva pena (tres años y un día) impedía el acceso a dicho beneficio (art. 80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junio de 2021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exige determinar si la resolución de 24 de junio de 2020 (dictada por la Sección Séptima de la Audiencia Provincial de Málaga), y que condenó a la demandante de amparo como autora de un delito contra la salud pública, previsto y penado en el art. 368 CP en relación con el art. 369.1.5 CP, en su modalidad de sustancias que no causan grave daño a la salud pública, a la pena de tres años y un día de prisión, ha vulnerado su derecho a la tutela judicial efectiva (art. 24 CE) en la vertiente de interdicción de reforma peyorativa en fase de recurso y de respeto al principio acusatorio, ya que la Audiencia Provincial de Málaga agravó la condena impuesta por el Juzgado de lo Penal fundamentándose en un error en la aplicación de la ley y sin petición al respecto de las partes acusadoras (el Ministerio Fiscal había interesado la confirmación de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por entender que el tribunal ad quem, al agravar la pena impuesta en primera instancia sin mediar petición de la parte acusadora, vulneró el derecho a la tutela judicial efectiva y el principio acusatorio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previa sobre el derecho a la tutela judicial efectiva, en su vertiente de la prohibición de reformatio in peius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Constitucional ha identificado la reformatio in peius 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(entre muchas, SSTC 9/1998, de 13 de enero, FJ 2; 196/1999, de 25 de octubre, FJ 3; 203/2007, de 24 de septiembre, FJ 2, o 126/2010,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primeras resoluciones de este tribunal se afirmó que la prohibición de la reforma peyorativa ostenta dimensión constitucional, aunque no se encuentre expresamente enunciada en el art. 24 CE. De un lado, se pone el acento en que representa un principio procesal que forma parte del derecho a la tutela judicial efectiva a través del régimen de garantías legales de los recursos, que deriva en todo caso de la prohibición constitucional de indefensión (entre otras, SSTC 54/1985, de 18 de abril, FJ 7; 141/2008, de 30 de octubre, FJ 5, y 126/2010, de 29 de noviembre, FJ 3) y que, en ocasiones, se ha vinculado al principio dispositivo (STC 28/2003, de 10 de febrero, FJ 2) y al principio de rogación (STC 54/1985, FJ 7). De otro lado, se identifica la prohibición de empeoramiento como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este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(STC 310/2005, de 12 de diciembre,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orden penal, ese anclaje constitucional al derecho a la tutela judicial efectiva se completa, en algunas resoluciones, con el respaldo del principio acusatorio, de modo que la exclusión de la reformatio in peius entronca con el destierro de toda actuación inquisitiva por parte del tribunal de segunda instancia. Conforme a esa jurisprudencia, es trasladable al recurso de apelación contra sentencias penales, lo dispuesto en el art. 902 de la Ley de enjuiciamiento criminal para el recurso de casación, a fin de preservar el principio acusatorio y evitar el agravamiento de la situación del condenado apelante por su solo recurso cuando ejercita el derecho a la segunda instancia en el orden penal, que es producto de la conexión de los arts. 24.1 y 10.2 CE (SSTC 54/1985, FJ 7; 16/2000, de 31 de enero, FJ 5; 200/2000, de 24 de julio, FJ 2; 310/2005, de 12 de diciembre, FJ 2, y 141/2008, de 30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doctrina constitucional se destaca asimismo que, con ello, se agrega a la prohibición general de reforma peyorativa el nuevo matiz, constitucionalmente relevante, de la seguridad jurídica del condenado sobre la inmutabilidad de la sentencia en su perjuicio, si no media recurso de parte contraria. Así, está absolutamente vedada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de 15 de octubre, FJ 5; 70/1999, de 26 de abril, FJ 8; 28/2003, de 10 de febrero, FJ 5; 310/2005, de 12 de diciembre, FJ 2; 141/2008, de 30 de octubre, FJ 5; 124/2010, de 29 de noviembre, FJ 2, y 246/2010, de 10 de octubre, FJ 5). En otras palabras, “lo que juega, con relevancia constitucional, es la agravación del resultado que tal decisión de oficio determina, aunque fuere absolutamente evidente su procedencia legal, de suerte que queda así constitucionalizado el principio de la no reforma peyorativa y fundado no solo en el juego del principio acusatorio sino en el de la garantía procesal derivada de una sentencia penal no impugnada de contrario” (SSTC 153/1990, de 15 de octubre, FJ 5; 17/2000, de 31 de enero, FJ 5; 124/2010, de 29 de noviembre, FJ 2, y 246/2010, de 10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y 70/1999, de 26 de abril, FJ 5), “cuya recta aplicación es siempre deber del juez, con independencia de que sea o no pedida por las partes” (SSTC 214/2000, de 16 de octubre, FJ 3; 28/2003, de 10 de febrero, FJ 3; 249/2005, de 15 de noviembre, FJ 5, y 126/2010,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esa reiterada proclamación, la jurisprudencia constitucional ha ido perfilando el alcance de la interdicción de reformatio in peius de la mano de su vinculación a la prohibición de indefensión, contraria a la tutela judicial efectiva (art. 24.1 CE), y el principio acusatorio en el marco del derecho a un proceso con todas las garantías (art. 24.2 CE). En concreto, en las SSTC 123/2005, de 12 de mayo; 183/2005, de 4 de julio, y 203/2007, de 24 de septiembre, se puso el acento en la distinción entre la interdicción de la reforma peyorativa y el alcance del principio acusatorio en la segunda instancia, que se modula respecto a su proyección en la primera instancia, pero encuentra su límite precisamente en el empeoramiento de la situación del recurrente con origen en su propio recurso. En las mencionadas resoluciones, este tribunal ha defendido que lo relevante no es si existe una reformatio, sino si es in peius, y ha especificado que “los términos de comparación para ponderar si la reforma ha sido peyorativa han de ser, en el caso, las respectivas condenas: es decir, si la recaída en segunda instancia empeora la situación que establece el fallo condenatorio de la dictada por el juzgador a quo, y no la relación existente entre la pretensión absolutoria del actor recurrente y el sentido del fallo condenatorio derivado del recurso” (SSTC 183/2005, FJ 3, y 203/2007,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hemos considerado (STC 223/2015, de 2 de noviembre) que se había vulnerado el derecho a la tutela judicial efectiva (art. 24.1 CE) en relación con el principio acusatorio y prohibición de reformatio in peius, en un supuesto en el que el órgano ad quem, con ocasión del recurso de apelación interpuesto por la defensa, había realizado una modificación de la calificación jurídica sin que la misma hubiera sido solicitada por ninguna de las partes en segunda instancia. En aquel caso ya señalábamos —fundamento jurídico 4— que “el tribunal ad quem está limitado a ejercitar su actividad jurisdiccional sujetándose a las peticiones de los recurrentes, en el caso de un único apelante no cabe modificar la resolución recurrida en su perjuicio. Únicamente podrá confirmarla o reformarla en beneficio del apelante, pero no revocarla para empeorar su situación”. Y terminábamos concluyendo que en aquel caso “El recurrente se encuentra tras la apelación con una calificación jurídica más grave, en una especie de retorno a la petición de la acusación en primera instancia, petición que fue entonces rechazada en sentencia y que ahora reaparece como efecto sorpresivo de su propio recurso, pues no hubo pretensión impugnatoria de la otra parte que activara aquella acusación de nuevo. En consecuencia, el recurrente no tuvo oportunidad efectiva de debatir en fase de apelación ese cambio de calificación. En conclusión, la estimación parcial del recurso, que debiera haber conducido a una rebaja de la pena, se asocia por el órgano de apelación a una respuesta penológica cuantitativamente pareja en el mejor de los casos, y que se asienta en una revisión sobre extremos valorados en la instancia, concretamente, la entidad de la violencia e intimidación, que no fueron objeto del recurso y que se consintieron por la parte que no recurrió”.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recientemente, en la STC 47/2020, de 15 de junio, también estimamos el amparo, en un supuesto de condena en segunda instancia donde la acusación había solicitado la revocación de la sentencia absolutoria y su sustitución por otra de signo condenatorio, si bien el petitum se refería únicamente a la condena a la responsabilidad civil ex delicto. La falta de sostenimiento de pretensión punitiva en el suplico del recurso provocó, consecuentemente, que la Audiencia Provincial al estimar el recurso, y condenar por el delito leve de apropiación indebida, vulnerara el principio acusatorio al imponer una pena superior a la solicitada por las acusaciones. En aquel caso acabamos señalando que “no resultan asumibles, desde la óptica del principio acusatorio, las acusaciones implícitas. No existiendo en segunda instancia quien sostuviera una pretensión punitiva, siquiera en su grado mínimo (en similares términos, STC 47/1991, de 28 de febrero, FFJJ 2 y 3), el órgano judicial no estaba habilitado para suplir un vacío que además, en este caso, cabe entender consciente. La simple subsunción jurídica de los hechos probados en el tipo penal, no permite extraer una consecuencia sancionadora obtenida no solo en quiebra de las reglas de contradicción y defensa que le deben preceder, sino también de la imparcialidad que ha de presidir la labor del órgano judicial llamado a decidir. Al condenar a quien hoy es recurrente en amparo la Audiencia Provincial vulneró el deber de congruencia entre acusación y fallo, a la par que el deber de imparcialidad que le incumbía”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jurisprudencial respecto del derecho a la tutela judicial efectiva y el principio acusatorio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principio acusatorio, que aparece también irremediablemente vinculado a la prohibición de reforma peyorativa, en la STC 123/2005, de 12 de mayo, este tribunal afirmaba que aun cuando tal principio no aparece expresamente mencionado entre los derechos constitucionales que disciplinan el proceso penal, ello no es óbice para reconocer como protegidos en el art. 24.2 CE ciertos derechos fundamentales que configuran los elementos estructurales de dicho principio, que trasciende el derecho a ser informado de la acusación y comprende un haz de garantías adicionales. En este sentido, se resaltaba tanto la vinculación del principio acusatorio con los derechos constitucionales de defensa y a conocer la acusación, como con la garantía constitucional de la imparcialidad judicial (STC 123/2005, FJ 3 y doctrina constitucional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pone en relación directa el derecho a un proceso con todas las garantías (art. 24.2 CE) con los derechos a la defensa y a estar informado de la acusación, pues si se produce una extralimitación del juzgador en el fallo, apreciando unos hechos o una calificación jurídica diferente a las pretendidas por las acusaciones, se privaría a la defensa de la necesaria contradicción. En este sentido, se recordaba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170/2006, de 5 de junio, FJ 2)” (STC 123/2005,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solo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solo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(STC 123/2005,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deber de congruencia alcanza también a la pretensión punitiva que, en definitiva, viene a constituir el condicionamiento jurídico al que está sometido el juez por parte de las acusaciones. En este sentido, este tribunal tiene declarado con carácter general que la vinculación del órgano judicial al principio acusatorio, si bien impide la imposición de una pena mayor o más grave que la correspondiente al delito efectivamente imputado en el proceso, no impide, sin embargo, que el juzgador imponga pena superior a la solicitada por las acusaciones, cuando no se alteren los hechos aducidos en el proceso, y se lleve a cabo dentro de los márgenes de la pena correspondiente al tipo penal que resulte de la calificación de los hechos formulada en la acusación y debatida en el proceso, pues el juez se halla sometido a la ley y debe, por tanto, aplicar las penas que, a su juicio, procedan legalmente en relación con un determinado delito (SSTC 17/1988, de 16 de febrero, FJ 6; 21/1993, de 18 de enero, FJ 2; 161/1994, de 23 de mayo, FJ 2; 43/1997, de 10 de marzo, FJ 3; 228/2002, de 9 de diciembre, FJ 6; 174/2003, de 29 de septiembre, FJ 9; 163/2004, de 4 de octubre, FJ 4; 71/2005, de 4 de abril, FJ 7; 347/2006, de 11 de diciembre, FJ 3, entre otras). Así pues, de conformidad con esta doctrina constitucional, la vinculación del juzgador a los hechos y a su calificación jurídica no impide que puedan imponerse penas superiores a las solicitadas por las acusaciones, dentro de los límites de la señalada por la ley al tipo penal incriminado, siempre que la calificación como tal de unos hechos, y los hechos mismos, hayan sido objeto del correspondiente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expuesta, sin embargo, fue matizada en la STC 155/2009, de 25 de junio, donde se señaló la necesidad de replantear la cuestión desde la perspectiva constitucional,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reiterado que la ausencia de indefensión debe respetarse en cada instancia. Lo cual, desde la perspectiva del principio acusatorio, implica que el sostenimiento de pretensiones acusatorias resulta igualmente exigible en la fase de apelación de la sentencia (por todas STC 283/1993, de 27 de septiembre, FFJJ 4 y 5 y jurisprudencia allí citada). De este modo, no basta con que el principio acusatorio haya tenido efectividad en la primera instancia, para entender cumplidas sus exigencias en la segunda instancia, si no se reformula en ella la pretensión: la correlación entre la acusación y el fallo de la sentencia debe existir en todas las instancias judiciales (STC 100/1992, de 25 de junio, FJ 2, entre otras). Conforme a ello, la inexistencia de acusación en la apelación o su defectuoso planteamiento en dicho grado no pueden entenderse suplidos, en modo alguno, por la primera acusación, ya que “en un sistema acusatorio deben entenderse igualmente excepcionales los poderes de actuación ex officio del juez lo mismo en la primera que en la segunda instancia” (STC 240/1988, de 19 de diciembre, FJ 3, por remisión a la STC 84/1985,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acusatoria debe constar, además, debidamente exteriorizada, rechazándose las formas tácitas o implícitas como manera de satisfacer el principio acusatorio exigible en cada una de las instancias penales (STC 47/1991, de 28 de febrero, FJ 2, por remisión a la STC 163/1986). Este tribunal no se refiere con ello a supuestos de simple confirmación de la sentencia de primera instancia, sino a aquellos casos en los que, sin formularse acusación en grado de apelación, sea condenado quien no lo fue en la instancia anterior, bien porque no fue acusado, bien porque resultó absuelto (SSTC 163/1986; 53/1987, de 7 de mayo, o 11/1992, de 27 de enero), así como a aquellos casos en los que el tribunal ad quem agrave la sentencia de instancia sin previa solicitud por alguna de las partes personadas (SSTC 17/1987, de 13 de febrero, y 19/1992, de 14 de febrero). Ahora bien, debe tenerse especial cuidado en no confundir la inexistencia de acusación con la calificación jurídica errónea que hayan podido efectuar el Ministerio Fiscal u otras acusaciones, puesto que el órgano judicial, si así lo considera, no estaría vinculado por la tipificación o imputación que en ella se efectúe (SSTC 163/1986, 47/1991 y 11/1992).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sobre tutela judicial efectiva, prohibición de reformatio in peius, y principio acusatorio (art. 24 CE), al supuesto de hecho del actual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Examinados los antecedentes fácticos del presente recurso de amparo, se constata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dictó sentencia condenando a la recurrente a la pena de dos años de prisión por la comisión de un delito contra la salud pública del art. 368 CP en relación con el art. 369.1.5 CP. Al individualizar la pena finalmente impuesta, la sentencia incurre en una argumentación ambigua porque, pese no calificar explícitamente los hechos como subsumibles en el tipo atenuado del art. 368.2 CP, la pena se encuentra dentro del marco penal abstracto de este último señalándose, además, que se valoran las “circunstancias personales y sociales” de la señora Kaouay a la hora de fijar la pena en su ámbito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la demandante de amparo interpuso contra esta sentencia recurso de apelación basado en los siguientes motivos: (i) infracción del derecho a la presunción de inocencia por insuficiencia del material probatorio para dictar sentencia condenatoria; (ii) nulidad de la entrada y registro domiciliario; y (iii) vulneración del derecho a una resolución motivada. En base a ello se interesaba el dictado de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 traslado del citado recurso, el Ministerio Fiscal solicitó la confirmación de la sentencia por sus propios términos. Así se deduce, de hecho, del suplico del citado escrito donde textualmente se señala “el fiscal interesa que se tenga por presentado este escrito, por hechas las manifestaciones contenidas en el mismo, y por impugnado el recurso de apelación interpuesto y, desestimando el mismo, se confirme la sentencia recurrida de fecha 26 de noviembre de 2019”. Por lo tanto, el Ministerio Fiscal (única acusación personada en la causa), no promovió ningún incidente impugnatorio de extremos contenidos en la sentencia de instancia, aquietándose a la resolución dictada por el Juzgado de lo Penal, sin advertir —o advirtiéndolo pero adhiriéndose a los argumentos dados por el juzgador— que la pena finalmente impuesta se correspondía con la aplicación del tipo atenuado del art. 368.2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Audiencia Provincial, en su sentencia 24 de junio de 2020, revocó parcialmente la resolución de instancia imponiendo una pena de prisión de tres años y un día. La nueva extensión de la pena se fundamentaba, señala la citada sentencia, en un aparente error cometido por el Juzgado de lo Penal ya que la determinación penológica de los tipos contemplados en el art. 368.1 y 369.1.5 CP obligaba a la imposición de una pena mínima de tres años y un día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entrar en el debate relativo a cuál fue el tipo penal finalmente aplicado, o si nos encontramos ante un error en el proceso de individualización de la pena, hay que recordar que, en el marco de la apelación y según la jurisprudencia constitucional que acaba de ser ampliamente expuesta, el tribunal ad quem está limitado a ejercitar su actividad jurisdiccional sujetándose a las peticiones de los recurrentes. Por lo tanto, en el caso de un único apelante no cabe modificar la resolución recurrida en perjuicio de este. En estos casos, el órgano jurisdiccional de alzada únicamente puede confirmar, o reformar en beneficio del apelante, la sentencia objeto de recurso, no pudiendo, por el contrario, revocarla para empeorar su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 pesar de que el órgano de apelación argumente que existió un error en la determinación de la pena y se ampare en el texto literal del Pleno no jurisdiccional de la Sala Segunda de 27 de diciembre de 2007, lo cierto es que con la resolución dictada en alzada se produjo una reformatio y esta fue in peius toda vez que, sin mediar pretensión impugnatoria al respecto, se elevó la pena finalmente impuesta de dos años a tres años y un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venido exponiéndose, el principio acusatorio requiere, en su contenido constitucional, que la pretensión punitiva se exteriorice en cada una de las instancias, siendo inadmisibles las acusaciones implícitas. Por otro lado, la seguridad jurídica de la condenada sobre la inmutabilidad de la sentencia en su perjuicio, si no media recurso de parte contraria, veda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de 15 de octubre, FJ 5; 70/1999, de 26 de abril, FJ 8; 28/2003, de 10 de febrero, FJ 5; 310/2005, de 12 de diciembre, FJ 2; 141/2008, de 30 de octubre, FJ 5; 124/2010, de 29 de noviembre, FJ 2, y 246/2010, de 10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habida cuenta de que en este caso la acusación no sostuvo ninguna petición agravatoria que autorizara la imposición de una pena superior, la agravación penológica acordada por la Audiencia Provincial carecía de cobertura acusatoria. No resultan asumibles, desde la óptica del principio acusatorio y de la prohibición de reformatio in peius, las acusaciones implícitas. No existiendo en segunda instancia quien sostuviera la imposición de una pena superior, el tribunal ad quem se encontraba limitado por las peticiones de los recurrentes, por lo que, siendo única apelante la propia condenada, no podía modificar la resolución recurrida en su perjuicio. En definitiva, su ámbito de actuación quedaba constreñida por las peticiones de la parte recurrente, quedando limitado el órgano de segunda instancia a confirmar la sentencia impugnada, o a modificarla en beneficio de la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insiste la doctrina de este tribunal anteriormente citada “ni siquiera la evidencia de una errónea calificación autoriza a los órganos judiciales ante los que se recurre a optar por la calificación correcta si esta conduce a un empeoramiento de la situación de quien impugna en solitario, salvo que concurran razones de orden público procesal que no se hallan presentes aquí” (STC 223/2015,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considerar, por tanto, infringidos los derechos invocados por la recurrente en amparo por la sentencia núm. 27/2020, de 24 de junio de 2020, de la Audiencia Provincial de Málaga. La imposición de una pena superior a la inicialmente acordada por la sentencia dictada en primera instancia, unida a inexistencia de petición al respecto, supone una agravación de la condena no solicitada por los acusadores que lesiona la interdicción de reforma peyorativa, así como el principio acusatorio, como parte del derecho a la tutela judicial efectiva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dispuesto en el art. 55.1 LOTC, la estimación del recurso de amparo ha de comportar la nulidad de la sentencia recaída en apelación. Debe implicar también la de la providencia de 28 de julio de 2020, que denegó a limine la promoción por la demandante de un incidente de nulidad frente a la condena. En consecuencia, deben retrotraerse las actuaciones al momento inmediatamente anterior al pronunciamiento de la sentencia de la Sección Séptima de la Audiencia Provincial de Málaga de 24 de junio de 2020 para que el órgano judicial dicte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Rachida Kaouay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Audiencia Provincial de Málaga (Sección Séptima) de 24 de junio de 2020, así como de la providencia de 28 de julio de 2020 que inadmitió el incidente de nulidad promovido contra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