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octubre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5872-2020, promovido por la entidad Viviendas Chimenea II de Águilas, Sociedad Cooperativa, representada por el procurador de los tribunales don Pedro Arcas Barnes, y bajo la dirección del letrado don Fernando Bastida García, contra el auto de 28 de octubre de 2020 dictado por el Juzgado de Primera Instancia e Instrucción núm. 3 de Lorca, en el procedimiento de ejecución hipotecaria núm. 207-2019, que desestimó el incidente de nulidad promovido por la demandante, ha intervenido el Ministerio Fiscal. Ha sido parte la mercantil Sociedad de Gestión de Activos Procedentes de la Reestructuración Bancaria, S.A., representada por el procurador de los tribunales don Manuel Sánchez-Puelles González-Carvajal y asistida del letrado don Francisco Moreno Sabater.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30 de noviembre de 2020 el procurador de los tribunales don Pedro Arcas Barnes, en nombre y representación de la entidad Viviendas Chimenea II de Águilas, Sociedad Cooperativa, asistida por el letrado don Fernando Bastida García, interpuso recurso de amparo contra el auto de 28 de octubre de 2020, dictado por el Juzgado de Primera Instancia e Instrucción núm. 3 de Lorca, en el procedimiento de ejecución hipotecaria núm. 207-2019, que desestimó el incidente de nulidad promovido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fecha 24 de julio de 2019 la Sociedad de Gestión de Activos Procedentes de la Reestructuración Bancaria, S.A. (en adelante SAREB), que había adquirido los activos de la entidad Banco Mare Nostrum, S.A., presentó demanda de ejecución hipotecaria contra la entidad Viviendas Chimenea II de Águilas, Sociedad Cooperativa, como deudora hipotecaria en relación con el préstamo con garantía hipotecaria constituido sobre setenta y tres fincas registrales y elevado a escritura pública el 27 de mayo de 2008, en reclamación de la cantidad de 24 165 916,75 €, en concepto de principal y 7 249 775,02 € en concepto de intereses y costas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Dicha demanda correspondió al Juzgado de Primera Instancia e Instrucción núm. 3 de Lorca, que la tramitó con el núm. 207-2019. Por auto de 10 de septiembre de 2019, el juzgado despachó ejecución frente al prestatario por el indicado importe, informando en su parte dispositiva que la parte ejecutada podía oponerse al despacho de la ejecución en los términos previstos en el art. 695 de la Ley de enjuiciamiento civil (en adelante, LEC), en el plazo de diez días a contar desde el siguiente a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Intentada la notificación y el emplazamiento a la ejecutada el 18 de septiembre de 2019, se extendió diligencia para “hacer constar que, habiéndome constituido en el domicilio facilitado como de la interesada, en c/ Pio XII, núm. 21, 4º B) resulta ser un despacho de abogados y manifiestan que no tienen relación con la empresa que pudiese ser que la tuviera con la Asesoría Serveco que se ubicaba antes en este domicilio”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diligencia de ordenación de 3 de octubre de 2019, se facultó al procurador de los tribunales que representaba a la ejecutante, para que practicara el requerimiento de pago en la persona de don Ricardo José Montoya Morata que era el administrador solidario de la entidad Llave Azul 2006, S.L., que a su vez era apoderada de la mercantil ejecutada. Ambas sociedades compartían el mismo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22 de octubre siguiente, por el procurador de los tribunales de la SAREB se comunicó la diligencia de requerimiento de pago con resultado negativo firmada por el procurador de los tribunales constando la siguiente observación “no consta nombre en los buzones nos manifiesta vecina del 1º 6, que vivía en el 4º piso, pero que hace 2 o 3 años que ya no reside aquí, desconociendo domicilio actual. En Lorca siendo las 12:00 horas, a 21 de octubre de 2019” (sic). Dos días después se interesó que el requerimiento se realizara por edictos. Así se acordó por la letrada de la administración de justicia mediante diligencia de ordenación dictada el 5 de noviembre de 2019, procediendo a la inserción del edicto ese mismo día y siendo retirado el 5 de diciembre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instancia de la representación de la SAREB, por decreto de la letrada de la administración de justicia de 24 de enero de 2020, aclarado por otro de 11 de febrero siguiente, se acordó sacar a la venta en pública subasta los bienes objeto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Mediante escrito de 26 de junio de 2020, el procurador de los tribunales don Pedro Arcas Barnes, en representación de la entidad Viviendas Chimenea II de Águilas, Sociedad Cooperativa, solicitó al juzgado que se la tuviera por personada en la aludida representación, siendo admitida la personación por diligencia de ordenación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recurrente presentó incidente de nulidad actuaciones el 6 de julio de 2020 en el que alegó la vulneración del derecho a la tutela judicial efectiva al haber procedido el órgano judicial al emplazamiento mediante edictos sin agotar previamente las posibilidades de averiguación del domicilio real de la ejecutada, bien a través de la localización del domicilio de don Ricardo José Montoya Morata, bien por la consulta telemática al registro de cooperativas de la región de Murcia a fin de averiguar la identidad de los miembros de su consejo rector. Cita, en su apoyo, la STC 122/2013, de 20 de mayo, e indica que el Tribunal Constitucional se ha pronunciado sobre el problema constitucional que ha planteado, la redacción dada al artículo 686.3 LEC por la Ley 13/2009 sobre la comunicación del procedimiento de ejecución hipotecaria, desde la perspectiva del artículo 24.1 CE, en el caso de que sea negativa la notificación y el requerimiento de pago en el domicilio que consta en el registro de la propiedad y, más concretamente, sobre la necesidad de que el órgano judicial agote las posibilidades de averiguación del domicilio real antes de acudir a notificación por edictos (SSTC 131/2014, de 21 de julio; 137/2014, de 8 de septiembre; 169/2014, de 22 de octubre; 89/2015, de 11 de mayo; 151/2016, de 19 de septiembre; 5/2017 y 6/2017, de 16 de enero; 106/2017, de 18 de septiembre; 137/2017, de 27 de noviembre, o 5/2018,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escrito solicitó además de la nulidad del procedimiento de ejecución hipotecaria desde la diligencia de ordenación que acordó proceder a notificar y requerir de pago a la ejecutada mediante edictos publicados en el tablón de anuncios del juzgado, la retroacción del procedimiento al momento inmediatamente anterior al de efectuar el requerimiento, para poder ejercitar los derechos que a tal efecto le concede el artículo 695 LEC, y la suspensión de las actuaciones a fin de evitar que se lleve a cabo la subasta impidiendo la eficacia de la estimación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el escrito acompañaba entre otros un certificado de empadronamiento en el que constaba el domicilio de don Ricardo José Montoya Morata en la Alberca y una copia de la escritura de constitución de la sociedad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subasta de las fincas no fue suspendida y se celebró el 13 de julio de 2020. Tres meses después, por auto de 28 de octubre de 2020, el Juzgado de Primera Instancia e Instrucción núm. 3 de Lorca rechazó la nulidad de actuaciones pretendida por la parte recurrente y acordó continuar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fundamentación del auto, con cita del artículo 686.1 LEC de modo coincidente con los argumentos expuestos en el escrito de la SAREB en el que la solicitó la desestimación del incidente de nulidad, se reproduce el fundamento 2.4 del auto de 8 de enero de 2018, de la Sección Primera de la Audiencia Provincial de Murcia, que, con referencia a otras resoluciones anteriores de la misma sección,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que la falta de notificación del saldo deudor no es imputable a la entidad ejecutante dado que la misma llevó a cabo con diligencia las actuaciones tendentes a la efectiva notificación en el domicilio pactado, sin que pueda ser imputada a la misma la falta de notificación. No podemos olvidar que en sede de ejecución hipotecaria rige el artículo 683 que impide al deudor el cambio del domicilio fijado para recibir notificaciones derivadas de la hipoteca, establece una serie de normas para que se pueda llevar a cabo y exige una expresa y fehaciente notificación al deudor del cambio de domicilio, aspectos estos que evidentemente no se han producido por lo que habrá que estar al domicilio pactado e inscrito en el Registro de la Propiedad”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(art. 24.1 CE) sin indefensión, en su manifestación de derecho de acceso al proceso, reconocido en el artículo 24.1 CE, al haber seguido el órgano judicial el procedimiento de ejecución acudiendo al emplazamiento por edictos sin haber agotado, previamente, los mecanismos previstos en el artículo 686.3 LEC, para intentar la averiguación y localización del domicilio de la recurrente por otros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que el órgano judicial ha decidido soslayar de forma consciente e intencionada la doctrina del Tribunal Constitucional sobre el artículo 686.3 LEC establecida en las SSTC 122/2013, de 20 de mayo; 131/2014, de 21 de julio; 137/2014, de 8 de septiembre; 169/2014, de 22 de octubre; 89/2015, de 11 de mayo; 151/2016, de 19 de septiembre; 5/2017 y 6/2017, de 16 de enero; 106/2017, de 18 de septiembre; 137/2017, de 27 de noviembre, y 5/2018, de 22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órgano judicial ha acudido al emplazamiento por edictos sin practicar ninguna diligencia de averiguación domiciliaria de la ejecutada, ni de su apoderada, o del representante legal de esta última, cuando fácilmente se hubiera podido localizar el domicilio de este o consultar telemáticamente al registro de cooperativas de la región de Murcia a fin de identificar a los miembros del consejo rector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solicita que se reconozca la vulneración invocada y que se declare la nulidad del auto de 28 de octubre de 2020 del Juzgado de Primera Instancia e Instrucción núm. 3 de Lorca y que se retrotraigan las actuaciones al momento inmediatamente anterior al requerimiento de pago.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digo, solicita que se acuerde la suspensión del procedimiento de ejecución hipotecaria en el que se ha dictado decreto de fecha 5 de noviembre de 2020, acordando la adjudicación a la parte ejecutante de las fincas subastadas, pues, de no proceder a la suspensión solicitada, la adjudicataria podría vender a terceras personas las fincas adjudicadas, que resultarían no reivindicables en virtud del artículo 34 de la Ley hipotecaria y por tanto la continuación del procedimiento ejecutivo haría perder al recurso de amparo su finalidad, sin que, por otra parte, concurra perturbación grave de los intereses generales, ni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sendas providencias de 10 de mayo de 2021, la Sección Segunda de este tribunal acordó admitir a trámite el recurso de amparo apreciando que concurre en el mismo especial trascendencia constitucional (art. 50.1 de la Ley Orgánica del Tribunal Constitucional) porque el órgano judicial pudiera haber incurrido en una negativa manifiesta del deber de acatamiento de la doctrina de este tribunal [STC 155/2009, FJ 2 f)], y dirigir comunicación al órgano judicial interviniente, a fin de que en el plazo que no exceda de diez días remitiera certificación o fotocopia adverada de las actuaciones correspondientes al procedimiento de ejecución hipotecaria núm. 207-2019, y que procediera a emplazar a quienes hubieran sido parte en el procedimiento, para que en plazo de diez días pudieran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acordó formar la oportuna pieza para la tramitación del incidente de suspensión y por ATC 66/2021, de 21 de junio, se denegó la suspensión cautelar solicitada. Posteriormente, por ATC 78/2021, de 13 de septiembre, se acordó ordenar la anotación preventiva de la demanda de amparo en el registro de la propiedad, sobre los inmuebles adjudicados a la SAREB.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remitido al registro electrónico de este tribunal el día 14 de julio de 2021, el procurador de los tribunales don Manuel Sánchez-Puelles González-Carvajal actuando en nombre y representación de la SAREB solicitó que se le tuviera por personado como parte, entendiéndose con el mismo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secretaria de justicia de la Sección Segunda de este tribunal de fecha 15 de julio de 2021 se acordó tener por recibido el emplazamiento de la parte personada en la vía judicial previa, y el escrito del procurador de los tribunales don Manuel Sánchez-Puelles González-Carvajal teniéndole por personado y parte en la representación indicada. También se resolvió, con arreglo al art. 52 de la Ley Orgánica del Tribunal Constitucional,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28 de septiembre de 2021, la representación de la SAREB presentó su escrito de alegaciones en el que solicitaba que se desestimara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que la mercantil recurrente incurrió en negligencia al incumplir su obligación de mantener activo y real su domicilio social y de notificar el cambio de domicilio registral (art. 683 LEC). Refiere que el domicilio social de la sociedad cooperativa coincide con el que se pactó en la escritura de hipoteca a efectos de notificaciones y requerimientos, sin que el mismo haya sido modificado. Entiende que la notificación intentada en dicho domicilio, sin que se haya notificado el cambio de domicilio al acreedor, fue conforme con lo dispuesto en los arts. 682, 683 y 686 LEC, máxime cuando debe presumirse que la recurrente conocía que tarde o temprano se reclamaría la deuda mediante el emplazamiento en el domicilio social y que al no comunicar el cambio del mismo, no podría tener conocimiento del procedimiento seguido contra ella. Refiere que es llamativo que la demandante de amparo no tuviera conocimiento del edicto por el que se le requería de pago y sí del edicto por el que se señalaba la subasta de las fincas.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Detalla los intentos de notificación que se produjeron, y señala que no fue posible averiguar otro domicilio de don Ricardo José Montoya Morata, una vez intentada la comunicación en el que constaba en la escritura de novación, pues al ser tercero ajeno al procedimiento —era administrador de la sociedad apoderada de la recurrente—, no era posible consultar su actual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reproduce el art. 3 de la Ley 8/2006, de 16 de noviembre de sociedades cooperativas de la Región de Murcia, y destaca que el domicilio de la sociedad está ligado a la actividad social y a la gestión empresarial y que sin domicilio social no puede existir actividad, debiendo las sociedades mantener un domicilio real y cierto. Con cita de las SSTC 38/2006 y 43/2006, de 13 de febrero, entiende que está acreditado que sabiendo la sociedad cooperativa que el préstamo había quedado incumplido desde el año 2012, y que el inicio de su reclamación judicial sería un hecho inevitable, abandonó su domicilio social, sin haber realizado ni cambio de domicilio social, ni tampoco cambio del domicilio registral a efectos de notificación, poniéndose en una situación consciente y voluntaria de ilocalización, aislamiento y desconocimiento de todo cuanto tuviera con la actividad que, como cooperativa constructora y prestataria deudora, había venido realizando e impidiendo a la entidad acreedora y al juzgado poder comunicarse formalmente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de las actuaciones resulta que aún efectuando la consulta en los registros oficiales del domicilio de la sociedad el resultado habría sido el mismo, pues la recurrente y la entidad que intervino como apoderada —Llave Azul 2006, S.L.— tienen el mismo domicilio social que no ha sido modificado. Finalmente añade que no era exigible oficiar al registro de cooperativas para conocer la identidad de los otros miembros del consejo rector, para posteriormente consultar el domicilio personal de sus miembros e intentar la notificación con ellos, pues si la sociedad tiene personalidad jurídica propia, la notificación intentada en el domicilio social es válida a todos los efectos, sin que sea exigible ir más allá, pues no se puede “exigir al órgano judicial una desmedida labor investigadora sobre la efectividad del acto de comunicación” (STC 131/2014,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28 de septiembre de 2021 la mercantil recurrente presentó sus alegaciones reiterando los argumentos que expuso en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fecha 8 de octubre de 2021, el Ministerio Fiscal presentó su escrito de alegaciones en el que solicita que se estime el recurso, se declare vulnerado el derecho a la tutela judicial efectiva sin indefensión de la demandante (art. 24.1 CE), y se declare la nulidad de todo lo actuado desde que se dictó el auto despachando ejecución, retrotrayendo las actuaciones para que se lleve a cabo la notificación a la parte ejecutada de forma que resulte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el Ministerio Fiscal expone los antecedentes procesales que considera relevantes y examina la concurrencia de los presupuestos procesales para la admisión de la demanda de amparo. A continuación, tras delimitar el objeto del recurso de amparo, reproduce los arts. 155.1, 156, 556, 553 y 686 LEC, y cita las SSTC 109/2009, de 10 de mayo; 122/2013, de 20 de mayo; 136/2014, de 8 de septiembre, y 125/2020, de 21 de septiembre, relativas al contenido y alcance del derecho a la tutela judicial efectiva y a la proyección de la doctrina constitucional sobre los actos de comunicación. Tras ello concluye que en el presente caso debe entenderse acreditada la vulneración del derecho fundamental por falta de emplazamiento personal de la demandante de amparo. Entiende que la ejecutada se encuentra perfectamente identificada y el órgano judicial no ha agotado las posibilidades de notificación personal previstas en la ley antes de acudir al emplazamiento edictal. Por último, considera que la recurrente ha sufrido como consecuencia de la omisión del emplazamiento una situación de indefensión real y efectiva, ya que no ha tenido la posibilidad de intervenir en el procedimiento, ser oída y ejercer la defensa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octubre de 2021,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la diligencia de ordenación de la letrada de la administración de justicia de 5 de noviembre de 2019 del Juzgado de Primera Instancia e Instrucción núm. 3 de Lorca por la que se acordó efectuar el emplazamiento a la recurrente de amparo a través de edictos, y del auto 28 de octubre de 2020 del mismo juzgado que confirmó dicha diligencia al rechazar la nulidad de actuaciones pretendida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ha resultado vulnerado su derecho a la tutela judicial efectiva (art. 24.1 CE), en su vertiente de derecho de acceso al proceso, pues se acudió al emplazamiento por edictos sin haber agotado otros mecanismos de averiguación y localización de la recurrente, incumpliendo la doctrina del Tribunal Constitucional recaída en relación con el art. 686.3 LEC. El Ministerio Fiscal solicita el otorgamiento del amparo con base, en esencia, en la doctrina constitucional expuesta en las SSTC 109/2009, de 10 de mayo; 122/2013, de 20 de mayo; 136/2014, de 8 de septiembre, y 125/2020, de 21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de la SAREB entiende que el emplazamiento por edictos fue conforme a los arts. 682, 683 y 686 LEC y atribuye el mismo a la negligente actuación de la mercantil recurrente, quien incumplió con su obligación de notificar el cambio de domicilio a la entidad financiera, colocándose en una situación consciente y voluntaria de ilocalización, sin que fuera posible y/o exigible el intento de notificación en otros domicilios.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Doctrina del Tribunal Constitucional sobre la correcta constitución jurídico-procesal y los actos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tiene que pronunciarse una vez más acerca de la corrección —desde el prisma de la prohibición de sufrir indefensión (art. 24.1 CE)—, del emplazamiento por edictos en un procedimiento de ejecución hipotecaria en el caso de que hayan sido infructuosos los intentos de notificación y requerimiento de pago al deudor en el domicilio que consta en las actuaciones o en los registros, y, más concretamente, sobre la necesidad de que el órgano judicial agote las posibilidades de averiguación del domicilio real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122/2013, de 20 de mayo, hasta la más reciente STC 145/2021, de 12 de julio, hemos venido analizando el problema constitucional que desde la perspectiva del artículo 24.1 CE ha planteado la previsión del emplazamiento por edictos introducida mediante el añadido del apartado tercero al artículo 686 LEC, por la Ley 13/2009, de 3 de noviembre, de reforma de la legislación procesal para la implantación de la nueva oficina judicial. Más concretamente hemos venido afirmando la necesidad de que el órgano judicial agote las posibilidades de averiguación del domicilio real antes de acudir a la notificación por edictos (por todas, STC 145/2021,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Ni el dictado de más de un centenar de resoluciones sobre la subsidiariedad del emplazamiento por edictos en cualquier tipo de procedimiento, ni la modificación realizada en el apartado tercero al artículo 686 LEC por el art. 1.25 de la Ley 19/2015, de 13 de julio, de medidas de reforma administrativa en el ámbito de la administración de justicia y del registro civil (que ha introducido —a modo de cautela legal previa al emplazamiento por edictos— el inciso “y realizadas por la oficina judicial las averiguaciones pertinentes para determinar el domicilio del deudor”), han servido para apaciguar la problemática constitucional que en la práctica se produce con los emplazamientos por edictos en los procedimientos de ejecución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consolidada doctrina constitucional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(entre otras muchas, SSTC 40/2005, de 28 de febrero, FJ 2; 293/2005, de 21 de noviembre, FJ 2; 245/2006, de 24 de julio, FJ 2; 131/2014, FJ 2; 89/2015, FJ 3; 151/2016, FJ 3; 106/2017, FJ 4; 5/2018, FJ 3; 29/2020, de 24 de febrero, FJ 3; 41/2020, de 9 de marzo, FJ 3, y 43/2021, de 3 de marzo, FJ 2). Incluso cuando no conste ese domicilio en las actuaciones habría que realizar otras gestiones en orden a la averiguación del domicilio real (por todas, SSTC 19/2004, de 23 de febrero, FJ 4, y 126/2006 de 24 de abril, FJ 4), siempre que ello no suponga exigir al órgano judicial una desmedida labor investigadora sobre la efectividad del acto de comunicación (SSTC 126/1999, de 28 de junio, FJ 4; 82/2000, de 27 de marzo, FJ 6; 113/2001, de 7 de mayo, FJ 5; 131/2014, FJ 2; 83/2018, de 16 de julio, FJ 4; 187/2020, de 14 de diciembre, FJ 3; 43/2021, FJ 2, y 118/2021, de 31 de mayo,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correcto entendimiento de dicha doctrina por los órganos judiciales debe comprender que el régimen procesal de emplazamientos, citaciones y notificaciones a las partes de los distintos actos procesales que tienen lugar en el seno de un procedimiento judicial, es instrumento capital para la correcta constitución de la relación jurídico procesal, cuya quiebra puede constituir una lesión del derecho a la tutela judicial efectiva (art. 24.1 CE). De tal manera que la falta o deficiente realización del emplazamiento a quien ha de ser o puede ser parte en el proceso coloca al interesado en una situación de indefensión, lo que vulnera el referido derecho fundamental (STC 122/2013, de 20 de mayo, FJ 3). De este modo, debe insistirse en que una precipitada constitución de la relación jurídico-procesal consecuencia de un erróneo entendimiento de la finalidad y naturaleza del emplazamiento por edictos, termina por resultar contraproducente para la buena marcha del proceso, el eficaz funcionamiento de la administración de justicia y los derechos fundamentales de todas las partes que intervienen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constitucional al caso planteado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como se ha expuesto con más detalle en los antecedentes, han quedado acreditados los siguientes extremos: (i) el órgano judicial realizó un primer intento de notificación del auto despachando ejecución hipotecaria a la entidad Viviendas Chimenea II de Águilas, Sociedad Cooperativa, para que pudiera oponerse en el plazo de diez días (art. 695 LEC). La notificación se intentó en el que constaba como domicilio social de la entidad recurrente en amparo, pero dicha dirección resultó corresponder a un despacho de abogados que según consta en la diligencia de emplazamiento carecía de relación con la sociedad cooperativa ejecutada; (ii) el segundo y último intento de notificación y emplazamiento personal se llevó a efecto por el procurador de los tribunales de la entidad ejecutante en la persona de don Ricardo José Montoya que era administrador solidario de la entidad Llave Azul 2006, S.L., que a su vez era apoderada de la entidad ejecutada y compartían formalmente el mismo domicilio. En la diligencia negativa de requerimiento extendida por el procurador se hizo constar la manifestación de una vecina del inmueble que informaba que dejó de residir allí desde hacía dos o tres años; (iii) dos días después de la comunicación de dicha diligencia la ejecutante solicitó el emplazamiento por edictos y la letrada de la administración de justicia sin más trámite, acordó el emplazamiento edictal mediante diligencia de ordenación dictada el 5 de noviembre de 2019, para posteriormente acordar la venta en pública subasta de las setenta y tres fincas registrales de la ejecutada.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jurisprudencia constitucional al presente caso determina que deba apreciarse la vulneración del artículo 24.1 CE, tal y como pone de manifiesto el Ministerio Fiscal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de las actuaciones resulta que la letrada de la administración de justicia no desarrolló ninguna actividad de averiguación del domicilio de los administradores de la mercantil recurrente, y, al dictar la diligencia de ordenación de 5 de noviembre de 2019 acordando el emplazamiento por edictos, obvió el carácter excepcional y supletorio que la comunicación edictal tiene respecto de la notificación personal. En efecto, el órgano judicial tuvo a su alcance, la posibilidad de averiguar otro u otros domicilios donde emplazar a cualquiera de los representantes y/o administradores de la entidad recurrente, que, por ello mismo no se encontraba en una situación de ilocalizable.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afirma el Ministerio Fiscal el juzgado podía haber intentado indagar el domicilio real de don Ricardo José Montoya administrador solidario de la entidad Llave Azul 2006, S.L., que actuó como apoderada de la entidad ejecutada en los instrumentos públicos que obran en las actuaciones a través de medios fácilmente accesibles como la averiguación domiciliaria integral disponible en el “punto neutro judicial” (STC 50/2017, de 8 de mayo, FJ 4), sin que ello le hubiera supuesto una desmedida labor investigadora. Dicho domicilio fue incluso facilitado por la mercantil recurrente al interponer el incidente de nulidad, pero la resolución que desestimó el incidente de nulidad de actuaciones no lo tuvo en cuenta a los efectos de ponderar el correcto agotamiento de las posibilidades de averiguar el domicilio real antes de acudir a la notificación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constar como administrador solidario de la entidad Llave Azul 2006, S.L., el señor Montoya, también era posible que a través del mismo mecanismo, el órgano judicial hubiera verificado si la entidad Llave Azul 2006, S.L., tenía otros administradores y en su caso, localizar el domicilio de los mismos, sin que dicha actuación pudiera ser calificada de exagerada o desmedida.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podía considerarse excesivo, consultar al registro de sociedades cooperativas de Murcia a los efectos de obtener información acerca de si la representación de la sociedad cooperativa le correspondía al consejo rector o a un administrador único, e identificar al representante o los representantes actuales de la sociedad cooperativa y del mismo modo intentar, en su caso, el emplazamiento personal antes de acudir a los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inacción de la letrada de la administración de justicia, lejos de ser corregida, vino avalada por el auto de 28 de octubre de 2020 dictado por el Juzgado de Primera Instancia e Instrucción núm. 3 de Lorca, que al desestimar el incidente de nulidad interpuesto por la mercantil recurrente, efectuó una lectura literal de los artículos 686.1 y 683 LEC, en la que no solo desconoció la doctrina constitucional, que sobre el carácter subsidiario del emplazamiento edictal le fue alegada por la entidad recurrente, sino que incluso omitió la cita del artículo 686.3 LEC que, como se ha puesto de manifiesto, había sido modificado por la Ley 19/2015 a los efectos de acompasar su literalidad a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órgano judicial acudió a la comunicación edictal sin haber agotado previamente las posibilidades razonables de notificación personal a la recurrente a través de sus administradores. La vulneración del derecho garantizado por el artículo 24.1 CE se colige también sin dificultad de la respuesta ofrecida en el auto resolutorio del incidente de nulidad, resolución en la que, según se ha visto más arriba, se elude abordar la cuestión planteada cuando el demandante de amparo dio oportunidad al órgano judicial para reparar la indefensión sufrida.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presente caso resulta que de las actuaciones no puede deducirse que el recurrente tuviera conocimiento extraprocesal del proceso de ejecución hipotecaria más que en el momento inmediatamente anterior a su primera comparecencia o que hubiera realizado u omitido actos con la finalidad de eludir el emplazamiento. Fue a raíz de la comparecencia y no antes cuando la recurrente pudo tomar conocimiento de la existencia del procedimiento de ejecución hipotecaria, procediendo inmediatamente a denunciar la lesión de su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Alcance de la vulneración declarada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consideraciones precedentes permiten concluir que se ha producido la vulneración del derecho a la tutela judicial efectiva sin indefensión (art. 24.1 CE) que se denuncia en la demanda de amparo, al no haber agotado el órgano judicial que conocía del procedimiento de ejecución hipotecaria los medios de averiguación del domicilio real de los administradores de la mercantil demandada antes de proceder a la comunicación por edictos. En consecuencia, de conformidad con lo dispuesto en el art. 55.1 de la Ley Orgánica del Tribunal Constitucional, procede otorgar el amparo que se solicita, declarando la nulidad del auto impugnado y retrotrayendo las actuaciones para que se proceda por el juzgado a la notificación de la demanda de ejecución hipotecaria y del requerimiento de pago a la recurrente en términos respetuosos con su derecho fundamental a la tutela judicial efectiva sin indefensión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la entidad Viviendas Chimenea II de Águilas, Sociedad Cooperativa,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de la recurrente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del Juzgado de Primera Instancia e Instrucción núm. 3 de Lorca, de 28 de octubre de 2020, dictado en el procedimiento de ejecución hipotecaria núm. 207-2019, así como la nulidad de las actuaciones realizadas a partir de la diligencia de ordenación de 5 de noviembre de 2019 por la que se acordó que el requerimiento de pago a la parte deudora se efectuara por edictos.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 dicho requerimiento de pago, debiendo llevarse a cabo el mismo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