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715-2021, interpuesto por Euroinversiones Inmobiliarias Costa Sur, S.L., representada por la procuradora de los tribunales doña Blanca Berriatua Horta, con asistencia letrada de don Marcelino Gilabert García, contra los autos de 15 de noviembre de 2018 y de 27 de noviembre de 2019 dictados por el Juzgado de Primera Instancia e Instrucción núm. 4 de Lorca en el proceso de ejecución hipotecaria núm. 377-2018. Ha comparecido la entidad Pera Assets Designated Activity Company, representada por la procuradora de los tribunales doña María Claudia Munteanu Null con asistencia letrada de don Alejandro Ingram Solís.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febrero de 2018, la procuradora de los tribunales doña Blanca Berriatua Horta, en nombre y representación de Euroinversiones Inmobiliarias Costa Sur, S.L., interpuso recurso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procedimiento de ejecución hipotecaria núm. 377-2018, promovido por Banco de Sabadell, S.A., frente a Euroinversiones Inmobiliarias Costa Sur, S.L., en calidad de prestataria e hipotecante.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21 de junio de 2018, el servicio de notificaciones de la Fábrica Nacional de Moneda y Timbre remite al día siguiente a Euroinversiones Inmobiliarias Costa Sur, S.L., a través de la dirección electrónica habilitada, un aviso de notificación en el que informa que esta estará disponible en esa dirección desde el 22 de junio hasta el 7 de agosto de 2018. El 31 de julio de 2018 Euroinversiones Inmobiliarias Costa Sur, S.L., accede efectivamente a la página web y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agosto de 2018, Euroinversiones Inmobiliarias Costa Sur, S.L., formuló oposición a la ejecución despachada por el juzgado. Por auto de 14 de noviembre de 2018 fue inadmitida por extemporánea, al tomar el 22 de junio de 2018 como fecha de notificación del auto de 21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Euroinversiones Inmobiliarias Costa Sur, S.L., interpuso recurso de reposición. Alegó que las diligencias de notificación y requerimiento se realizaron el 27 de julio de 2018. La comunicación remitida a través de la dirección electrónica habilitada no sería más que un aviso de puesta a disposición o descarga de su contenido durante un plazo determinado. Entenderlo de otro modo vulneraría el art. 24 CE, además de los arts. 135, 152, 160 y 162 de la Ley 1/2000, de 7 de enero,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27 de noviembre de 2019. El juzgado rechaza que se hayan infringido los preceptos invocados por la recurrente, por cuanto la notificación se practicó el 22 de junio de 2018, fecha en la que se materializó correctamente su puesta a disposición en aplicación estricta del art. 162 LEC. Razona que, a efectos de computar el plazo para formular oposición a la ejecución hipotecaria no puede tomarse en consideración la fecha en que el acceso se realizó efectivamente por la recurrente, pues de lo contrario se estaría dejando al arbitrio de las partes el cumplimiento de los términos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la vulneración del derecho fundamental de la sociedad recurrente a la tutela judicial efectiva sin indefensión (art. 24.1 CE) y a un proceso con todas las garantías (art. 24.2 CE). La interpretación de la legislación procesal llevada a cabo por el Juzgado de Primera Instancia e Instrucción núm. 4 de Lorca habría privado injustamente a la demandante de su derecho a formular oposición a la ejecución hipotecaria. Tratándose de un primer emplazamiento, debió realizarse del modo tradicional (art. 273 LEC). El órgano judicial habría incumplido su obligación de asegurar, no ya la legalidad formal de los actos de comunicación, sino el cumplimiento efectivo de su finalidad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en la demanda de amparo que se declare la nulidad de los autos impugnados y se acuerde retrotraer las actuaciones al momento procesal previo a realizarse el primer emplazamiento, para que este se efectúe correctamente, de modo que la demandante pueda oponerse al despacho de la ejecución. Por otrosí se solicita la suspensión del proceso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Segunda de este tribunal, por diligencia de ordenación de 12 de febrero de 2020, acuerda dirigir comunicación al Juzgado de Primera Instancia e Instrucción núm. 4 de Lorca, a fin de que, en el plazo de diez días, remita certificación o fotocopia adveradas de las actuaciones correspondientes al procedimiento de ejecución hipotecaria núm. 377-2018.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junio 2021, la Sección Tercera de este tribunal acuerda admitir a trámite el recurso de amparo, toda vez que su resolución puede dar ocasión para aclarar o cambiar su doctrina, como consecuencia de cambios normativos relevantes para la configuración del contenido del derecho fundamental [STC 155/2009, FJ 2 b)]. Habiéndose ya recibido las actuaciones correspondientes al procedimiento de ejecución hipotecaria núm. 377-2018, se acuerda también dirigir atenta comunicación al Juzgado de Primera Instancia e Instrucción núm. 4 de Lorca, a fin de que, en el plazo de diez días, emplace a quienes hubieran sido parte en el proceso del que trae causa el presente recurso de amparo, excepto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Sección Tercera de este tribunal dictó providencia acordando formar pieza para la tramitación del incidente relativo a la suspensión interesada y conceder, conforme a lo dispuesto en el art. 56 de la Ley Orgánica del Tribunal Constitucional (LOTC), un plazo común de tres días a la recurrente y al Ministerio Fiscal, para que alegaran lo que considerasen procedente. Evacuado el trámite de alegaciones, por ATC 92/2021, de 4 de octubre, la Sala Segunda acordó denegar la suspensión cautelar del procedimiento de ejecución hipotecaria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16 de julio de 2021, la entidad Pera Assets Designated Activity Company, representada por la procuradora de los tribunales doña María Claudia Munteanu Null y bajo la dirección letrada de don Alejandro Ingram Solís, hace constar que la entidad Banco de Sabadell, S.A., le ha cedido el crédito hipotecario y que, en virtud del régimen de sucesión procesal, las actuaciones deben continuarse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por diligencia de ordenación de 2 de diciembre de 2021, acordó tener por personada y parte en el presente proceso constitucional a la procuradora de los tribunales doña María Claudia Munteanu Null en nombre y representación de Pera Assets Designated Activity Company. Acordó asimismo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3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procesales relevantes para el caso, razona, en síntesis, que para resolver el presente recurso de amparo resulta íntegramente aplicable lo declarado en la STC 40/2020, de 27 de febrero, que proyectó sobre un asunto prácticamente idéntico la doctrina sentada en anteriores resoluciones de este tribunal, entre otras, en la STC 47/2019, de 8 de abril. Solicita, en consecuencia, el otorgamiento del amparo, que ha de conllevar el reconocimiento de la vulneración del derecho de la recurrente a la tutela judicial efectiva sin indefensión y la declaración de nulidad de todo lo actuado desde la notificación electrónica del auto de despacho de la ejecución, con retroacción de las actuaciones al momento inmediatamente anterior, a fin de que se practique de nuevo el emplazamiento por el juzgado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12 de enero de 2022 tiene entrada en el registro de este tribunal el escrito de alegaciones de la recurrente, que ratifica las expuestas en la demanda de amparo, y trascribe en parte los fundamentos jurídicos de la STC 40/2020,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Pera Assets Designated Activity Company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febrero de 2022,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los autos de 15 de noviembre de 2018 y de 27 de noviembre de 2019 dictados por el Juzgado de Primera Instancia e Instrucción núm. 4 de Lorca en el proceso de ejecución hipotecaria núm. 377-2018. El primero de ellos inadmitió por extemporánea la oposición a la ejecución hipotecaria formulada por la recurrente en amparo, mientras que el segundo confirmó la anterior decisión al desestimar el recurso de reposición interpuesto frente a ella. Para el órgano judicial, el plazo que la ejecutada tenía para formular oposición a la ejecución despachada ha de computarse desde la fecha en la que recibió en su dirección electrónica habilitada (22 de junio de 2018) una comunicación del servicio de notificaciones electrónicas de la Fábrica Nacional de Moneda y Timbre avisándole de que hasta el 7 de agosto de 2018 tendría disponible una notificación del citado juzgado relacionada con el referido procedimiento. La sociedad mercantil recurrente no accedió al enlace remitido hasta el 31 de julio de 2018 y, por ser procesalmente inhábil el mes de agosto, presentó su escrito de oposición el día 29 de agosto, por lo que estima que lo hizo antes de que transcurriera el plazo de diez días hábiles legalmente previsto, computado desde la fecha límite expuesta en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considera que la notificación fue inadecuadamente realizada pues, al tratarse de la primera notificación, debió efectuarse de forma personal y no a través de la dirección electrónica habilitada, lo que le habría generado indefensión, y por tanto vulneración del art. 24.1 CE, al inadmitirse la oposición a la ejecución. El Ministerio Fiscal solicita también la estimación de la demanda de amparo, al considerar que se ha vulnerado el derecho de la recurrente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forma parte de una serie de recursos de amparo interpuestos por dos sociedades mercantiles,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señalan tanto la recurrente en amparo como el Ministerio Fiscal, la STC 40/2020, de 27 de febrero, ha estimado un recurso de amparo basado en los mismos motivos que el presente y dirigido contra autos del mismo órgano judicial, de contenido muy similar a los impugnados en el presente recurso. Descartada aquí la concurrencia de algún elemento distintivo que obligue a una fundamentación o resultado diferentes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STC 40/2020, FJ 3, aborda el examen de la queja de fondo por lesión del art. 24.1 CE derivada de la inadmisión del escrito de oposición a la ejecución, advirtiendo que resulta de aplicación al caso la doctrina de este tribunal plasmada en sus SSTC 6/2019, de 17 de enero, FJ 4 a), y 47/2019, de 8 de abril, FJ 4 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de la Ley 1/2000, de 7 de enero, de enjuiciamiento civil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la misma STC 40/2020, FJ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suma, dar por reproducidos los fundamentos jurídicos de la citada STC 40/2020 y, en consecuencia, declarar que los autos dictados el 15 de noviembre de 2018 y el 27 de noviembre de 2019 por el Juzgado de Primera Instancia e Instrucción núm. 4 de Lorca en el proceso de ejecución hipotecaria núm. 377-2018 han vulnerado el derecho de la recurrente en amparo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aquel caso, la estimación del recurso de amparo trae consigo la nulidad de los autos recurridos, así como de todo lo actuado en el procedimiento hipotecario a quo desde el momento en que se proveyó al emplazamiento de la recurrente en amparo a través de la dirección electrónica habilitada, con retroacción de las actuaciones para que el órgano judicial practique dicho emplazamiento en los términos exigidos por la ley (arts. 155.1 y 273.4 LEC), de manera respetuosa con el derecho fundamental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15 de noviembre de 2018 y de 27 de noviembre de 2019 dictados por el Juzgado de Primera Instancia e Instrucción núm. 4 de Lorca en el proceso de ejecución hipotecaria núm. 377-2018, así como de las actuaciones realizadas a partir del emplazamiento de la sociedad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proceso de ejecución hipotecaria núm. 377-2018 al momento inmediatamente anterior al emplazamiento de la recurrente, a fin de que este se lleve a cabo de nuevo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