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28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6464-2021, promovido por la entidad Soninorte Producciones,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11 de octubre de 2021, la entidad Soninorte Producciones, S.L., representada por el procurador de los tribunales don José Carlos García Rodríguez, bajo la asistencia del letrado don Jaime Rodríguez Díez, interpuso recurso de amparo contra la desestimación por silencio administrativo negativo de la solicitud de convocatoria de concurso para la adjudicación de las licencias disponibles de comunicación audiovisual de radiodifusión sonora digital en la Comunidad Autónoma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recurrente formuló ante la Consejería de Innovación, Industria, Turismo y Comercio de la Comunidad Autónoma de Cantabria, solicitud interesando la convocatoria del concurso público correspondiente a las licencias de comunicación audiovisual radiofónica digital en la Comunidad Autónoma de Cantabria. Frente a la desestimación por silencio administrativo negativo, interpuso recurso de alzada que fue desestimado por silencio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núm. 73-2019, se desestima íntegramente por sentencia núm. 112/2020, de 14 de abril, de la Sala de lo Contencioso-Administrativo del Tribunal Superior de Justicia de Cantabria. No se imponen costas. En la sentencia se afirma que “la existencia de pronunciamientos contradictorios supone una circunstancia que permite excepcionar el principio de vencimiento objetivo de las costas procesales causadas, a tenor de lo establecido en el art. 139 LJCA, en la redacción dada por la Ley 37/2011, de 10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Preparado recurso de casación núm. 4405-2020 por la representación procesal de la mercantil demandante de amparo, por providencia de 6 de octubre de 2021 de la Sección Primera de la Sala de lo Contencioso-Administrativo del Tribunal Supremo, se acuerda su inadmisión por pérdida sobrevenida en el recurso de interés casacional, al haberse resuelto por esta Sala, de forma contraria a los intereses del recurrente, la cuestión que en este supuesto presentaría interés casacional para la formación de jurisprudencia. No se imponen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recurso de amparo se invoca la vulneración del derecho a la libertad de expresión e información, en su vertiente de derecho de creación de medios de comunicación [art. 20.1 a) y d) CE], infracción que se deriva de la negativa de la administración a convocar un concurso público de licencias de radiodifusión sonora digital en relación con el derecho de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octubre de 2022, la Sección Tercera de este tribunal, acordó admitir a trámite el presente recurso de amparo, apreciando que concurre en el mismo una especial transcendencia constitucional (art. 50.1 de la Ley Orgánica del Tribunal Constitucional: LOTC) porque el recurso puede dar ocasión al Tribunal para aclarar o cambiar su doctrina, como consecuencia de un proceso de reflexión interna [STC 155/2009, FJ 2 b)] y porque el asunto suscitado trasciende del caso concreto porque plantea una cuestión jurídica de relevante y general repercusión social o económica [STC 155/2009, FJ 2 g)]. Asimismo, se acordó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misma fecha, la Sección Tercera de este tribunal dictó providencia acordando formar pieza para la tramitación del incidente relativo a la suspensión interesada y conceder, conforme a lo dispuesto en el art. 56 LOTC,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18 de octubre de 2022 presentó sus alegaciones la entidad recurrente en amparo interesando la adopción de medidas cautelares consistentes, en primer lugar, en la suspensión del acto administrativo y sentencias confirmatorias; y, en segundo lugar, con carácter subsidiario interesa la suspensión parcial de las sentencias confirmatorias en lo que respecta a la condena en costas en la primera instancia, a los efectos de que el recurso de amparo no pierda su finalidad. Aduce que se producirían los siguientes perjuicios: impide a la recurrente desempeñar la finalidad para la que fue constituida, esto es, la prestación del servicio de comunicación audiovisual; condena a la recurrente a seguir sin realizar actividad material alguna; supone el cierre y desaparición definitiva del medio de comunicación recurrente en amparo; le expone a la acción de la potestad sancionadora en caso de prestar la actividad careciendo de título habilitante; y afecta y restringe de forma directa al derecho constitucionalmente reconocido a expresar y difundir libremente los pensamientos, ideas y opiniones. A ello añade otros dos argumentos. En primer lugar, que la Ley 13/2022, de 7 de julio, general de comunicación audiovisual ha derogado la Ley 7/2010, de 31 de marzo. La nueva norma ya no establece el decaimiento de las reservas de dominio público radioeléctrico por el transcurso del tiempo. En segundo lugar, pone de manifiesto dos nuevos hechos que considera de relevancia. Una nueva sentencia del Tribunal Superior de Justicia de la Comunidad Valenciana, que ordena la convocatoria del concurso; y la publicación de una convocatoria de concurso por parte de la Comunidad Autónoma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14 de noviembre de 2022 presentó sus alegaciones el Ministerio Fiscal. Después de hacer una referencia a los antecedentes del caso, el fiscal expone la doctrina de este tribunal sobre la suspensión de las resoluciones impugnadas en amparo. A tal efecto, cita y reseña parcialmente, entre otros, los AATC 117/2015, de 6 de julio, FJ 1; 59/2017, de 24 de abril, FJ 1; 177/2019, de 16 de diciembre, FJ 2, y 49/2022, de 7 de marzo, FJ 1. Adicionalmente, reitera la jurisprudencia constitucional sobre la carga de la prueba acerca de los perjuicios irreparables alegados, con cita y reseña parcial del ATC 250/2013, de 4 de noviembre, FJ 1. Finalmente, procede a la aplicación de la doctrina jurisprudencial al caso concreto, lo que conduce, según el fiscal, a la desestimación de las pretensiones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Ministerio Público, la primera petición formulada excede de las previsiones del art. 56 LOTC, puesto que las resoluciones administrativas recurridas se han limitado a denegar la convocatoria de un concurso público y, en consecuencia, “agotan sus efectos en tal decisión, sin que generen ulteriores actos de ejecución”. El fiscal señala que, en realidad, lo que se pretende es que “se ordene a la administración que convoque” el concurso para la concesión de las licencias. Eso excede del ámbito propio de la tutela cautelar, que “no incluye la imposición [de] un actuar posterior”, sino la mera suspensión del acto impugnado. Además, esa petición vendría a “coincidir, siquiera sea parcialmente, […] con la pretensión final del amparo”, lo que implicaría “una anticipación del fallo”. Por otro lado, el perjuicio para el derecho fundamental a la libertad de comunicación e información no se aprecia como “actual o real”, sino “totalmente eventual”, porque la participación en un concurso no asegura la adjudicación de la licencia. Asimismo, el fiscal considera que la parte demandante no ha aportado “ninguna prueba o justificación” sobre la “entidad” de los perjuicios económicos alegados, que fuera determinante de la pérdida de la finalidad del amparo. En cuanto a la petición subsidiaria de suspensión de las condenas en costas, constata que tanto la sentencia de instancia como la providencia de inadmisión del recurso de casación disponen que dichas resoluciones se dictan “sin imposición de costas”.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incidente consiste en determinar la procedencia o no de las medidas cautelares instadas por la recurrente en amparo. La medida cautelar solicitada consiste en la suspensión de la vigencia del acto administrativo impugnado y de las resoluciones judiciales confirmatorias. Subsidiariamente se solicita la suspensión parcial de las resoluciones judiciales en lo que respecta a la condena en costas en la primera instancia. El Ministerio Fiscal ha interesado la desestimación de estas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interpretación conjunta de ambos apartados configura la suspensión de la ejecución de las resoluciones firmes como una medida excepcional y, por lo tanto, de interpretación restrictiva (ATC 117/2015, de 6 de julio,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de carácter patrimonial o económico se ha señalado que, por más que puedan producir efectos desfavorables a quien demanda en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 De ahí que se haya accedido a la suspensión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 (ATC 117/2018, de 29 de octubre, FJ 2; en el mismo sentido AATC 21/2018, de 5 de marzo, FJ 2, y 66/2008, de 25 de febrero, FJ único)” (ATC 49/2020, de 15 de junio, FJ 3, que también recuerda la carga que pesa sobre quien solicita la medida, de acreditar la imposibilidad o la dificultad de reparación del derecho si se ejecuta la resolución)» (ATC 105/2020, de 21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o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Expuesta la doctrina de este tribunal, nos encontramos en condiciones de resolver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solicita la adopción de una medida cautelar consistente en la suspensión de la vigencia de las resoluciones impugnadas. Y lo hace al amparo de lo dispuesto en el art. 56.1 y 2 LOTC, es decir, para que una hipotética estimación del recurso de amparo no pierda su finalidad y no se mantenga una situación que genera perjuicios que pudieran ser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Centrada así la cuestión, lo primero que conviene señalar es que, tal y como pone de manifiesto el Ministerio Fiscal, la medida cautelar solicitada resulta ineficaz para la finalidad pretendida. El ATC 38/2018, de 22 de marzo, FJ 3 recuerda que el “perjuicio irreparable que justifica la adopción de la medida cautelar, tal y como se deduce del artículo 56 LOTC, debe […] ser consecuencia directa de la ejecución del acto de los poderes públicos por razón del cual se reclame el amparo constitucional. Cualquier otra consideración llevaría a desnaturalizar, de un lado, el carácter meramente cautelar de la suspensión solicitada y, de otro, el principio básico de funcionamiento del recurso de amparo constitucional, que es la subsidiariedad”. La particularidad que presenta este caso es que el objeto del recurso es una desestimación de una pretensión. Su eventual suspensión no tendría un efecto real sobre los derechos invocados porque, una vez acordada su temporal falta de vigencia, sería necesario un ulterior acto o resolución administrativa que acordara la convocatoria del concurso solicitado y desestimado inicialmente, lo que, dicho sea de paso, tampoco garantizaría la convocatoria del concurso. Por ello, no se aprecia la concurrencia de una relación de causa-efecto entre la suspensión del acto impugnado y la evitación de un perjuicio irreparable para el recurrente, porque la pérdida temporal de vigencia de la resolución impugnada no implicaría la pervivencia de los derechos alegados, cuyo ejercicio solo puede considerarse, en este momento y a estos solos efectos, como hipotético.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y apurando las opciones planteadas por el recurrente, este tribunal tampoco podría acordar la convocatoria del concurso como medida cautelar porque supondría una anticipación o predeterminación del fallo, es decir, una decisión impropia de la fase procesal en la que nos encontramos [ATC 55/2018, de 22 de mayo, FJ 2 c), ya citado]. Por el mismo motivo, no procede pronunciarse en este momento sobre la eventual repercusión que, para la resolución de este incidente, pueda tener el hecho de que se hayan dictado sentencias aparentemente contradictorias en distintos ámbitos territoriales, o que se hayan convocado otros concursos sobre la misma materia, o que se haya producido una modificación del régimen jurídico regulador de la cuestión de fondo planteada. Cualquier resolución que implicara la ponderación de este tipo de criterios supondría, en definitiva, anticipar una decisión que solo puede adoptarse tras la tramitación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cabe coincidir con el Ministerio Fiscal en que la parte recurrente no ha superado la carga procesal de aportar un principio de prueba de los perjuicios que alega, así como de su carácter irreparable (ATC 147/2017, de 13 de noviembre, FJ 1). De hecho, la alegación sobre la condena en costas resulta contradicha porque tanto la sentencia de instancia como la providencia de inadmisión del recurso de casación disponen que dichas resoluciones se dictan “sin imposición de costas”. Por lo demás, los términos de las alegaciones formuladas en esta pieza apuntan a perjuicios de indudable naturaleza económica que, como tales, serían susceptibles de reparación (ATC 105/2020, de 21 de septiembre, FJ 2). Y en cuanto a los perjuicios derivados de la imposibilidad de ejercitar los derechos invocados, además de su aparente naturaleza hipotética o conjetural, su eventual ponderación implicaría, de nuevo, una anticipación de la resolución que, en definitiva, haya de adoptarse. La estimación de una medida cautelar basada en la concurrencia de este tipo de perjuicios implicaría en este caso, como presupuesto metodológico, un reconocimiento —aunque fuera indiciario— de esos derechos, lo que constituye precisamente el objeto de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las medidas cautelares solicitadas por la entidad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