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5166-2022, promovido por Euroinversiones Inmobiliarias Costa Sur,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julio de 2022 tuvo entrada en el registro general del Tribunal Constitucional un escrito de la procuradora de los tribunales doña Blanca Berriatua Horta, en representación de la entidad Euroinversiones Inmobiliarias Costa Sur, S.L., por el que interpuso recurso de amparo contra el auto de 3 de junio de 2022 del Juzgado de Primera Instancia e Instrucción núm. 5 de Lorca, que desestima el recurso de reposición interpuesto por la ahora actora frente al auto de 21 de septiembre de 2018, que inadmitió por extemporánea la demanda de oposición presentada en el seno de la ejecución hipotecaria núm. 294-2018, promovida por la entidad Banco de Sabadell,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septiembre de 2018, el Juzgado de Primera Instancia e Instrucción núm. 5 de Lorca dictó un auto en el procedimiento de ejecución hipotecaria núm. 294-2018 por el que acordó: “Inadmitir a trámite la oposición formulada por la parte ejecutada […] Euroinversiones Inmobiliarias Costa Sur, S.L., […], por estar presentada fuera de plazo”,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Ley de enjuiciamiento civil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recurso de reposición, fue desestimado por auto del Juzgado de fecha 3 de junio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consta en esta resolución, la entidad ahora recurrente alegó “la infracción de los artículos 135, 152, 158, 160, 162 y 273 de la Ley de enjuiciamiento civil así como el artículo 24 CE en el auto por el que se acuerda inadmitir a trámite la oposición formulada por considerarla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Manifiesta en síntesis la recurrente que no es cierto que la notificación se le efectuara en fecha 22 de mayo de 2018 como se afirma en la resolución recurrida sino el día 7 de julio de 2018, siendo que el escrito de oposición al estar presentado en fecha 20 de julio de 2018 estaría dentro del plazo de los diez días que impone el art. 695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el recurrente, que la comunicación recibida el día a través de la dirección electrónica habilitada no constituye una notificación o requerimiento en legal forma sino solamente un aviso de la puesta a su disposición de una notificación electrónica que puede descargarse en un plazo determinado, por que habiendo tenido acceso el día 7/07/2018 la notificación se efectúo en dicho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respuesta a estas pretensiones, el Juzgado argumenta, en resumen, lo siguiente: (i) que la demandante está obligada a relacionarse con la administración de justicia por medios electrónicos, dado su condición de persona jurídica; (ii) reseña los arts. 162.2 LEC; 33.2 y 34 de la Ley 18/2011, de 5 de julio; y 11.2 del Real Decreto 1065/2015, de 2 de noviembre; así como el acuerdo de Pleno no jurisdiccional de la Sala Cuarta del Tribunal Supremo de 6 de julio de 2016; y (iii) que, en el presente caso, “consta que la notificación se puso a disposición de la recurrente en fecha 22/05/2018 no accediendo al contenido hasta el día 07/07/18 (fuera de los tres días que establece la normativa procesal), presentando los escritos de oposición a la ejecución en fecha 20/07/2018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del derecho a la tutela judicial efectiva (art. 24.1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3 de junio de 2022, que desestimó la reposición, se reiteran los argumentos ya expuestos, que no fueron atendidos por el Juzgado al dar por válida la notificación efectuada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cita y reseña ampliamente la doctrina de este tribunal sobre la cuestión planteada, y más en concreto, las SSTC 47/2019, de 8 de abril; 40/2020, de 27 de febrero; 77/2020, de 29 de junio, y 130/2020, de 21 de septiembre,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294-2018 seguido ante el Juzgado de Primera Instancia e Instrucción núm.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24 de octubre de 2022,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comunicación al Juzgado de Primera Instancia e Instrucción núm. 5 de Lorca, a fin de que, en plazo que no exceda de diez días, remita testimonio íntegro de las actuaciones correspondientes al procedimiento de ejecución hipotecaria núm. 294-2018;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solicitado por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27 de octubre de 2022,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 harían perder al recurso de amparo su finalidad y provocarían perjuicios patrimoniales para mi representada de imposible o difícil reparación”. Tras reiterar los argumentos expuestos en la demanda de amparo, cita en apoyo de su pretensión lo resuelto por este tribunal en el ATC 287/2013, de 16 de diciembre, que reseña ampliamente.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10 de noviembre de 2022,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de forma exhaustiva los antecedentes que consideró de interés, el fiscal cita el art. 56 LOTC para, seguidamente, hacer una descripción amplia de la doctrina de este tribunal sobre sobre el carácter excepcional y la aplicación necesariamente restrictiva de la medida de suspensión de la resolución impugnada en amparo (art. 56.2 LOTC), así como sobre el concepto de perjuicio irreparable y su concreción en el ámbito patrimonial o económico. A lo que añade nuestra doctrina sobre la carga que recae sobre el recurrente, a la hora de alegar los concretos perjuicios que podrían derivarse de la ejecución de la resolución impugnada. Conforme a ese contexto, el Ministerio Fiscal considera aplicable a este supuesto la misma solución acordada en los AATC 27/2020, y 28/2020, ambos de 24 de febrero, FJ 3, que transcribe. En consecuencia, el fiscal interesa la desestimación de la suspensión solicitada y que, en su lugar, se acuerde “la medida cautelar de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294-2018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regulación ofrece una configuración de la suspensión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o justifique, ofreciendo un principio razonable de prueba, el carácter no reparable o la dificultad de la reparación de los perjuicios derivados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mencionada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un tercero de buena fe lo hiciera irreivindicable, situación a la que hace referencia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entre otros, en los AATC 106/2017, de 17 de julio, FJ 3; 88/2018, de 17 de septiembre, FJ 5; 2/2019, de 9 de enero, FJ 4, o 177/2019,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[sus]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294-2018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