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2819-2021, promovido por la UTE Puente de Cádi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mayo de 2021 el procurador de los tribunales don Federico Pinilla Romeo, en nombre y representación de UTE Puente de Cádiz y bajo la dirección del letrado don Nicolás González-Deleito Domínguez, interpuso demanda de amparo contra la providencia de 18 de marzo de 2021 de la Sección Primera de la Sala de lo Contencioso-Administrativo del Tribunal Supremo en recurso de casación 5947-2020 contra la sentencia dictada por la Sección Octava de la Sala de lo Contencioso-Administrativo de la Audiencia Nacional en procedimiento ordinario 45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2819-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