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62</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21 de febrero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en los recursos de inconstitucionalidad núm. 4129-2018, 2206-2019, 718-2020, 762-2020, 1220-2021, 1760-2021, 1828-2021, 1798-2021, 1875-2021, 2222-2021, 4469-2021, 4977-2021, 5305-2021, 5610-2021, 5935-2021, 6345-2021, 1937-2022 y 2545-2022, y en el conflicto positivo de competencia núm. 5253-2021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fechado el día 10 de febrero de 2023, el magistrado don Juan Carlos Campo Moreno comunicó al señor presidente, a los efectos oportunos, su voluntad de abstenerse de intervenir en el conocimiento de los siguientes asuntos: recursos de inconstitucionalidad núm. 4129-2018, 2206-2019, 718-2020, 762-2020, 1220-2021, 1760-2021, 1828-2021, 1798-2021, 1875-2021, 2222-2021, 4469-2021, 4977-2021, 5305-2021, 5610-2021, 5935-2021, 6345-2021, 1937-2022 y 2545-2022, y conflicto positivo de competencia núm. 5253-2021.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solicitud de abstención se vincula: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los recursos de inconstitucionalidad núm. 4129-2018, 2206-2019, 718-2020, 762-2020 y 1220-2021, al hecho de haber participado el magistrado, en su anterior condición de diputado: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la votación del Pleno del Congreso de los Diputados de 4 de julio de 2018, en la que se convalidó el Real Decreto-ley 4/2018, de 22 de junio, por el que se concreta, con carácter urgente, el régimen jurídico aplicable a la designación del consejo de administración de la corporación RTVE y de su presidente (objeto del recurso de inconstitucionalidad núm. 4129-2018);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la votación de 3 de abril de 2019 de la Diputación Permanente del Congreso de los Diputados de 3 de abril de 2019 en la que se convalidó el Real Decreto-ley 6/2019, de 1 de marzo, de medidas urgentes para garantía de la igualdad de trato y de oportunidades entre mujeres y hombres en el empleo y la ocupación, impugnados en dichos procesos constitucionales (objeto del recurso de inconstitucionalidad núm. 2206-2019);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en la votación de 27 de noviembre de 2019 de la Diputación Permanente del Congreso de los Diputados, en las que se convalidó el Real Decreto-ley 14/2019, de 31 de octubre, por el que se adoptan medidas urgentes por razones de seguridad pública en materia de administración digital, contratación del sector público y telecomunicaciones (objeto de los recursos de inconstitucionalidad núm. 718-2020, 762-2020 y 1220-2021).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los recursos de inconstitucionalidad núm. 1760-2021, 1828-2021, 1798-2021, 1875-2021, 2222-2021, 4469-2021, 4977-2021, 5305-2021, 5610-2021, 5935-2021, 6345-2021, 1937-2022, 2545-2022 y en el conflicto positivo de competencia núm. 5253-2021, la solicitud de abstención viene vinculada al hecho de haber participado, en la condición de ministro de Justicia, en los consejos de ministros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el Consejo de Ministros de 3 de marzo de 2020, en el que se aprobó el proyecto de ley que dio lugar a la Ley Orgánica 3/2020, de 29 de diciembre, por la que se modifica la Ley Orgánica 2/2006, de 3 de mayo, de educación (objeto de los recursos de inconstitucionalidad núm. 1760-2021 y 1828-2021);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el Consejo de Ministros de 27 de octubre de 2020, en el que se aprobó el proyecto de ley que dio lugar a la Ley 11/2020, de 30 de diciembre, de presupuestos generales del Estado para el año 2021 (objeto de los recursos de inconstitucionalidad núm. 1798-2021 y 1875-2021);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en el Consejo de Ministros de 19 de enero de 2021, en el que se aprobó el Real Decreto-ley 1/2021, de 19 de enero, de protección de los consumidores y usuarios frente a situaciones de vulnerabilidad social y económica (objeto del recurso de inconstitucionalidad núm. 2222-2021);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en el Consejo de Ministros de 11 de mayo de 2021, en el que se aprobó el Real Decreto-Ley 9/2021, de 11 de mayo por el que se modifica el texto refundido de la Ley del  estatuto de los trabajadores, aprobado por el Real Decreto Legislativo 2/2015, de 23 de octubre, para garantizar los derechos laborales de las personas dedicadas al reparto en el ámbito de plataformas digitales (objeto de los recursos de inconstitucionalidad num. 4469-2021 y 4977-2021);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en el Consejo de Ministros de 4 de mayo de 2021, en el que se aprobó el Real Decreto-ley 8/2021, de 4 de mayo, por el que se adoptan medidas urgentes en el orden sanitario, social y jurisdiccional, a aplicar tras la finalización del estado de alarma declarado por el Real Decreto 926/2020, de 25 de octubre, por el que se declara el estado de alarma para contener la propagación de infecciones causadas por el SARS-CoV-2 (objeto del recurso de inconstitucionalidad núm. 5305-2021);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 en el Consejo de Ministros de 30 de marzo de 2021, por el que se aprobó el reglamento de actuación y funcionamiento del sector público por medios electrónicos aprobado por Real Decreto 203/2021, de 30 de marzo (objeto del conflicto positivo de competencia núm. 5253-2021);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(vii) en el Consejo de Ministros de 9 de junio de 2020 en el que se aprobó el proyecto de ley que dio lugar a la Ley Orgánica 8/2021, de 4 de junio, de protección integral a la infancia y la adolescencia frente a la violencia (objeto del recurso de inconstitucionalidad núm. 5610-2021);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(viii) en el Consejo de Ministros de 24 de junio de 2021, por el que se aprobó el Real Decreto-ley 12/2021, de 24 de junio, por el que se adoptan medidas urgentes en el ámbito de la fiscalidad energética y en materia de generación de energía, y sobre gestión del canon de regulación y de la tarifa de utilización del agua (objeto del recurso de inconstitucionalidad núm. 5935-2021);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(ix) en el Consejo de Ministros de 6 de julio de 2021, por el que se aprobó el Real Decreto-ley 14/2021, de 6 de julio, de medidas urgentes para la reducción de la temporalidad en el empleo público (objeto del recurso de inconstitucionalidad núm. 6345-2021);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(x) en el Consejo de Ministros de 29 de mayo de 2020, en el que se aprobó el Real Decreto-ley 20/2020, de 29 de mayo, que después fue tramitado por las Cortes como proyecto de ley que dio lugar a la Ley 19/2021, de 20 de diciembre, por la que se establece el ingreso mínimo vital (objeto del recurso de inconstitucionalidad núm. 1937-2022);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(xi) en el Consejo de Ministros de 13 de octubre de 2020, en el que se aprobó el proyecto de ley que dio lugar a la 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 (objeto del recurso de inconstitucionalidad núm. 2545-2022).</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Visto el contenido de la comunicación efectuada por el magistrado don Juan Carlos Campo Moreno, en virtud de lo previsto en los arts. 80 de la Ley Orgánica del Tribunal Constitucional y 221.4 de la Ley Orgánica del Poder Judicial (LOPJ), se estiman justificadas las causas de la abstención formuladas en los procesos constitucionales reseñados en los antecedentes de esta resolución. En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los recursos de inconstitucionalidad núm. 4129-2018, 2206-2019, 718-2020, 762-2020 y 1220-2021, la participación del magistrado, en su anterior condición de Diputado, en las votaciones del Pleno y de la Diputación Permanente del Congreso de los Diputados que aprobaron los reales decretos-leyes impugnados en dichos procedimientos, integra la causa de abstención recogida en el art. 219.13 LOPJ, según la cual lo es: “Haber ocupado cargo público, desempeñado empleo o ejercido profesión con ocasión de los cuales haya participado directa o indirectamente en el asunto objeto del pleito o causa o en otro relacionado con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relación con los recursos de inconstitucionalidad núm. 1760-2021, 1828-2021, 1798-2021, 1875-2021, 2222-2021, 4469-2021, 4977-2021, 5305-2021, 5610-2021, 5935-2021, 6345-2021, 1937-2022, 2545-2022 y con el conflicto positivo de competencia núm. 5253-2021, su intervención, en su anterior condición de ministro de Justicia, en los consejos de ministros que han sido referenciados en los antecedentes de esta resolución, integra, de acuerdo con los arts. 2, 5, 18, 22 y 24 de la Ley 50/1997, de 27 de noviembre, del Gobierno, la causa de abstención recogida en el art. 219.13 LOPJ, según la cual lo es: “Haber ocupado cargo público, desempeñado empleo o ejercido profesión con ocasión de los cuales haya participado directa o indirectamente en el asunto objeto del pleito o causa o en otro relacionado con el mismo”.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Juan Carlos Campo Moreno, apartándole definitivamente del conocimiento de los recursos de inconstitucionalidad núm. 4129-2018, 2206-2019, 718-2020, 762-2020, 1220-2021, 1760-2021, 1828-2021, 1798-2021, 1875-2021, 2222-2021, 4469-2021, 4977-2021, 5305-2021, 5610-2021, 5935-2021, 6345-2021, 1937-2022 y 2545-2022, y del conflicto positivo de competencia núm. 5253-2021.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febrero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