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304-2023, promovido por la Asociación Empresarial Española de Casinos de Jueg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febrero de 2022 la procuradora de los tribunales doña María del Carmen Ortiz Cornago, en nombre y representación de la Asociación Empresarial Española de Casinos de Juego y bajo la dirección de la letrada doña María Guinot Barona, interpuso demanda de amparo contra la providencia de fecha 20 de julio de 2022, dictada por el Tribunal Supremo, Sala de lo Contencioso-Administrativo, Sección Primera, en el recurso de casación núm. 341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30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