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2263-2023, promovido por Inmugarte, S.L.,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abril de 2023 la procuradora de los tribunales doña María Isabel Soberón García de Enterría, en nombre y representación de Inmugarte, S.L., y bajo la dirección del letrado don Manuel Vera Revilla, interpuso demanda de amparo contra la providencia de 6 de octubre de 2022 de la Sección Primera de la Sala de lo Contencioso-Administrativo del Tribunal Supremo, en el recurso de casación núm. 1804-2022.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18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2263-2023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