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2361-2023, promovido por don Jesús María Rodríguez Román en relación con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10 de abril de 2023, la representación procesal de don Jesús María Rodríguez Román interpuso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por la Sección Primera de la Audiencia Provincial de Sevilla, se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(hechos relatados en los folios 31 a 96 de la sentencia de instancia), la operativa imputada consiste en haber participado en la fase prelegislativa (bien sea en la fase de elaboración del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de los proyectos de ley, anteproyectos de ley y las modificaciones presupuestarias, tiene su origen en la partida presupuestaria 22E, habitualmente utilizada para realizar transferencias en el marco de ayudas sociolaborales, que se encontraba (de conformidad con lo establecido en la Ley 5/1987, de 19 de julio, de la hacienda pública de la Comunidad Autónoma de Andalucía,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la que, sin alterar el programa 22E, se modificó su clasificación incluyendo la cantidad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y que a partir del 2001 los fondos recibidos por el Instituto de Fomento de Andalucía fueran movilizados al destinatario final mediante suscripción de convenios particulares con otras entidades. Desde el año 2002 hasta el 2009 se procedió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700 millones de euros) habrían sido otorgadas, entre otros defectos: a) sin expediente de concesión; b) sin publicidad; c) sin fiscalización previa; d) sin autorización; e) sin memoria explicativa, y f)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fue condenado por haber participado en los hechos anteriores, en su calidad de viceconsejero de Innovación desde el 19 de marzo de 2005 al 1 de abril de 2010, asumiendo la vicepresidencia del Instituto de Fomento de Andalucía-Agencia de Innovación y Desarrollo de Andalucía tras la adscripción de dicho instituto a la Consejería de Innovación en el año 2004 y en años anteriores, en su calidad de viceconsejero de Justicia y Administración Pública, como autor de un delito de prevaricación en concurso medial con un delito de malversación agravada. La Audiencia Provincial de Sevilla le impuso la pena de prisión de seis años y dos días, con inhabilitación especial para el derecho de sufragio pasivo por tiempo de la condena, así como la pena de inhabilitación absoluta por tiempo de quince años y dos días, con privación definitiva de todos los honores, empleos y cargos públicos, aunque sean electivos, e incapacidad para obtener estos o cualesquiera otros honores.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como motivos de amparo, las siguientes vulneraciones de derechos fundamentales: (i) vulneración del derecho a la tutela judicial efectiva [arts. 24.1 CE y 6.1 del Convenio europeo de derechos humanos (CEDH)], a un proceso público con todas las garantías incluyendo la presunción de inocencia y vulneración del principio de legalidad penal (arts. 25 y 7 CEDH), en cuanto la condena por el delito de malversación carece de prueba de cargo suficiente sobre el elemento subjetivo (dolo eventual) y se funda en indicios que no son unívocos, ni concluyentes, así como en una inferencia demasiada abierta e indeterminada, cuya argumentación no puede considerarse lógica ni coherente, carente de sustrato probatorio y que implica un nuevo juicio de tipicidad, con base en un juicio de culpabilidad que parte de una presunción de participación, creando una especie de “dolo omnicomprensivo” que abarca los hechos calificados como prevaricación y malversación, sin que la sentencia de instancia hubiera realizado previamente un verdadero juicio de autoría; (ii) del derecho a la tutela judicial efectiva en su vertiente a la intangibilidad de las resoluciones judiciales, debido a que, a pesar de que Audiencia Provincial de Sevilla excluyó las ayudas individuales del objeto de enjuiciamiento, el Tribunal Supremo, incurriendo en una reformatio in peius prohibida por la Constitución, las considera el soporte del delito de malversación; (iii) del derecho a la legalidad penal (art. 25.1 CE), porque órganos judiciales han llevado a cabo una interpretación extensiva y analógica in malam partem del elemento típico “resolución en asunto administrativo” del art. 404 del Código penal (CP), al considerar como “resolución en asunto administrativo” los acuerdos adoptados sucesivamente por el Consejo de Gobierno de la Junta de Andalucía por los que se aprobaron los anteproyectos de ley de presupuestos de la comunidad autónoma y se remitieron como proyectos de ley al Parlamento de Andalucía; y, en segundo lugar, porque los órganos judiciales habrían llevado a cabo una interpretación extensiva y analógica in malam partem del elemento típico “resolución en asunto administrativo” del art. 404 CP, al considerar como “resolución en asunto administrativo” los acuerdos adoptados por el Consejo de Gobierno de la Junta de Andalucía, relativos a determinadas modificaciones presupuestarias.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considera en la demanda que el recurso goza del requisito de la especial trascendencia constitucional debido 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Se trata de un asunto que trasciende del caso concreto porque plantea una cuestión jurídica de relevante y general repercusión social y económica [STC 155/2009, de 25 de junio, FJ 2 g)]. Tal cualidad se desprende de la propia sentencia dictada por el Tribunal Supremo en la que se afirma el carácter singular y extraordinario del caso que se juzga, dando lugar incluso a una anticipación del fallo dada “la relevancia pública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Plantea un problema o afecta a una faceta de un derecho fundamental sobre el que no hay doctrina de este tribunal [STC 155/2009, FJ 2 a)], en particular “cuál es la relevancia penal que pudiera tener, desde la perspectiva de los tipos de prevaricación y malversación de caudales públicos, la presupuestación pública de una comunidad autónoma” y que está relacionada con los siguientes puntos: (a) la consideración de los anteproyectos y proyectos de presupuestos y modificaciones presupuestarias de una comunidad autónoma como resolución administrativa a efectos penales; (b) la posibilidad de que un proyecto de presupuestos de una comunidad autónoma “pueda ser conceptuado como susceptible de generar un engaño en el parlamento autonómico que, al aprobar dicho presupuesto, adquiera carta de naturaleza como ley”; (c) a la consideración de que una ley sancionada por un parlamento autonómico pueda ser ilegal debido a que no se adecúa a requerimientos reglamentarios previos a los que, supuestamente, estaba vinculado el anteproyecto de presupuestos. Subraya el recurrente que este último punto tiene una esencial urdimbre constitucional debido a que supone “una suerte de inversión del sistema de fuentes constitucionalmente establecido. De modo que un proyecto de ley que no se adecue a lo que un tribunal interprete como requerimientos de tipo reglamentario del más bajo rango (instrucciones de la intervención general de la Junta de Andalucía), al ser elevado a rango de ley, nace lastrado con una mácula de ilegalidad que permite afirmar la existencia de partidas presupuestarias ilegales en el seno de una ley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órgano judicial incurre en una negativa manifiesta a acatar la doctrina constitucional [STC 155/2009, FJ 2 f)] en materia de indicios como prueba bastante para la condena, singularmente respecto del elemento subjetivo del delito, verificada por un voto particular disidente de dos de los cinco componentes de la Sala del Tribunal Supremo que resolvió la casación interpuesta contra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interesa que se declare la vulneración de los derechos fundamentales aludidos y, en consecuencia, la nulidad de las resoluciones impugnadas. Asimismo, mediante otrosí digo, se interesa, al amparo de lo dispuesto en el art. 56.2 de la Ley Orgánica del Tribunal Constitucional (LOTC), la suspensión de la eficacia de las sentencias impugnadas hasta tanto recaiga una resolución definitiva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Mediante escrito presentado en el registro general del Tribunal Constitucional el 10 de abril de 2023 la representación procesal de don Jesús María Rodríguez Román ha interpuesto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Asimismo, por otrosí ha interesado que se acuerde la suspensión de la ejecución de la sentencia impugnada en lo relativo a la pena de prisión conforme a lo dispuesto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LOTC ha decidido asumir la decisión sobre la admisibilidad del presente recurso, tras su examen liminar,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LOTC): (i) porque el recurso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y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en aplicación de lo dispuesto en el art. 51 LOTC,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Formar pieza separada de suspensión y, en ella, conceder un plazo de tres días al Ministerio Fiscal y al solicitante de amparo para que efectúen alegaciones respecto a dicha petición.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