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1805-2023, promovido por el Excmo. Ayuntamiento de Úbeda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marzo de 2023, el Excmo. Ayuntamiento de Úbeda interpuso demanda de amparo contra la providencia de 15 de diciembre de 2022 de la Sección Primera de la  Sala de lo Contencioso-Administrativo del Tribunal Supremo en recurso de casación 8426-2021.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1805-2023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