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7042-2021, promovido por la mercantil Tubos Reunidos, S.A.,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noviembre de 2021 el procurador de los tribunales don Jacobo Gandarillas Martos, en nombre y representación de la mercantil Tubos Reunidos, S.A., y bajo la dirección de letrado don Alfonso del Castillo Bonet, interpuso demanda de amparo contra sentencia núm. 188/2020, de 29 de junio, dictada por la Sección Primera de la Sala de lo Contencioso-Administrativo del Tribunal Superior de Justicia del País Vasco, en el recurso contencioso-administrativo núm. 132-2019; la providencia de 22 de abril de 2021, dictada por la Sección Primera de la Sala de lo Contencioso-Administrativo del Tribunal Supremo, por la que se acuerda la inadmisión del recurso de casación núm. 5168-2020; y la providencia de 21 de septiembre de 2021, por la que se inadmite el incidente de nulidad promovido frente a la providencia de inadmisión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providencia de inadmisión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7042-2021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