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164-2021, promovido por la mercantil Veranda y Arnela Desarrollos, S.L., representada por la procuradora de los tribunales doña Isabel Covadonga Juliá Corujo y asistida por el abogado don Jaime Rodríguez Díez, contra la resolución de 18 de octubre de 2018, de la Consejería de Administración Pública y Hacienda de la Comunidad Autónoma de La Rioja, por la que se desestima el recurso de alzada interpuesto contra la resolución de 3 de octubre de 2018, desestimatoria de la solicitud de convocatoria de concurso para la adjudicación de las licencias disponibles de comunicación audiovisual de radiodifusión sonora digital de ámbito local en la citada comunidad autónoma. Ha comparecido la referida comunidad autónoma y ha intervenido el Ministerio Fiscal.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12 de enero de 2021, la procuradora de los tribunales doña Isabel Covadonga Juliá Corujo, actuando en nombre y representación de Veranda y Arnela Desarrollos, S.L., bajo la defensa del letrado don Jaime Rodríguez Díez, interpuso demanda de amparo contra la resolución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Veranda y Arnela Desarrollos, S.L., interpuso recurso contencioso administrativo contra la resolución núm. 1392 de 18 de octubre de 2018, del consejero de Administración Pública y Hacienda, desestimatoria del recurso de alzada interpuesto contra resolución anterior de 3 de octubre de 2018, desestimatoria de su solicitud de convocatoria de concurso para la adjudicación de las licencias disponibles de comunicación audiovisual de radiodifusión sonora digital de ámbito local en la Comunidad Autónoma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Justicia de La Rioja estimó el recurso interpuesto por sentencia de 27 de junio de 2019 al concluir que la pasividad de la administración demandada no puede motivar la desestimación de la solicitud deducida por la recurrente y que concurren los presupuestos que contempla el art. 27.2 de la Ley general de la comunicación audiovisual (LGCA) para que deba procederse a la convocatoria del concurso público de las licencias disponibles correspondientes al servicio de comunicación audiovisual de radiodifusión sonora digital terrenal (DAB), con cobertura local, integradas en los tres bloques de frecuencias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letrada de los servicios jurídicos de la Comunidad Autónoma de La Rioja interpuso recurso de casación, que fue estimado por sentencia de la Sección Tercera de la Sala de lo Contencioso-Administrativo del Tribunal Supremo de 14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interés casacional advertido en el auto de admisión a trámite, la sentencia de casación cita los precedentes jurisprudenciales sobre la cuestión de aplicación al presente caso y expone la existencia de dos criterios jurisdiccionales distintos entre los diferentes tribunales superiores de justicia para distinguir a continuación el caso que se le plantea, relativo a las circunstancias de aplicación y a los efectos que los plazos prevenidos en el art. 27.4 LGCA puedan tener sobre los planes técnicos y sobre la cobertura de las licencias vacantes, de otros examinados por el propio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Colige que nada hay en el art. 27 LGCA que pueda considerarse irrazonable o indebidamente restrictivo, en particular, al prever que el no aprovechamiento de espacios reservados al dominio público radioeléctrico para servicios de radiodifusión en un plazo concreto de tiempo tras la aprobación de la planificación correspondiente hace decaer dicha reserva. Tampoco considera que la aplicación del art. 27.4 LGCA incurra en prohibición de irretroactividad porque se proyecte sobre una planificación técnica aprobada con anterioridad a la entrada en vigor de la Ley general de la comunicación audiovisual, concluyendo que “de conformidad con lo dispuesto en el artículo 27 —apartados 2 y 4— de la Ley general de comunicación audiovisual, el transcurso de los plazos estipulados en dicho precepto tras la aprobación de un plan técnico nacional de un servicio de radio o televisión, sin que la administración haya solicitado la afectación al servicio público de radio o televisión de que se trate de la reserva de dominio prevista en el citado plan o se haya convocado concurso para el otorgamiento de licencias, y sin que ningún interesado haya solicitado dicha convocatoria, la reserva de dominio decaerá y será excluida de la planificación. En consecuencia y dados tales presupuestos, la administración no estaría ya obligada a la convocatoria de concurso a solicitud de cualquier interesado hasta que se efectúe una nueva reserva de dominio y se produzca la correspondiente afectación al servicio público de radio o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 la Comunidad Autónoma de La Rioja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convocado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septiembre de 2022, la Sección Cuarta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cumplimiento a lo dispuesto en el art. 51 LOTC y formar la correspondiente pieza separada de suspensión, que fue concluida por ATC 142/2022, de 14 de noviembre,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 La Rioja.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Comunidad Autónoma de La Rioja, con la representación y asistencia de letrada de su servicio jurídico, presentó sus alegaciones mediante escrito registrado el 21 de diciembre de 2022, en el que rechaza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presentó sus alegaciones mediante escrito registrado el 10 de enero de 2023 en el que reiteraba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19 de enero de 2023, el secretario de justicia de la Sección Tercera de la Sala Segunda de este tribunal puso en conocimiento de las partes que, en virtud del acuerdo del Pleno del Tribunal Constitucional de 17 de enero de 2023, publicado en el “Boletín Oficial del Estado” de 19 de enero de 2023, el presente recurso de amparo fue turnado a la citada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mediante escrito registrado el 20 de enero de 2023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septiembre de 2023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resolución de 18 de octubre de 2018, de la Consejería de Administración Pública y Hacienda de la Comunidad Autónoma de La Rioja, por la que se desestima el recurso de alzada interpuesto contra resolución anterior de 3 de octubre de 2018, desestimatoria de la solicitud de convocatoria de concurso para la adjudicación de las licencias disponibles de comunicación audiovisual de radiodifusión sonora digital de ámbito local, en la citada comunidad autónoma,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Veranda y Arnela Desarrollos,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amparo núm. 164-2021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reflejado en la sentencia a que se refiere el encabezamiento y, en ejercicio de la facultad que me confiere el art. 90.2 de la Ley Orgánica del Tribunal Constitucional, manifiesto mi discrepancia con la argumentación y fallo de la sentencia aprobada por la Sala. Por ello, me remito, en su totalidad, al voto particular que realicé a la STC 89/2023, de 18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