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719-2021, promovido por Mirendica, S.L., representada por el procurador de los tribunales don Joaquín Cañibano Martín y asistida por el abogado don Jaime Rodríguez Díez, contra la resolución núm. 114/2018, de 20 de diciembre, de la Viceconsejería de Comunicación y Relaciones con los Medios de Canarias, que acuerda el archivo de la solicitud de convocatoria de concurso para la adjudicación de las licencias disponibles de comunicación audiovisual de radiodifusión sonora digital de ámbito local en la Comunidad Autónoma de Canarias por haber desaparecido el objeto del procedimiento. Ha comparecido la referida comunidad autónoma y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8 de febrero de 2021, el procurador de los tribunales don Joaquín Cañibano Martín, actuando en nombre y representación de Mirendica, S.L., bajo la defensa del letrado don Jaime Rodríguez Díez, interpuso demanda de amparo contra la resolución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Mirendica, S.L., interpuso recurso contencioso administrativo contra la resolución núm. 114/2018, de 20 de diciembre, de la Viceconsejería de Comunicación y Relaciones con los Medios de Canarias, que acuerda el archivo de su solicitud de convocatoria de concurso para la adjudicación de las licencias disponibles de comunicación audiovisual de radiodifusión sonora digital de ámbito local en la Comunidad Autónoma de Canarias por haber desaparecido el objeto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Primera de la Sala de lo Contencioso-Administrativo del Tribunal Superior de Justicia de Canarias, con sede en Santa Cruz de Tenerife, desestimó el recurso interpuesto por sentencia de 26 de septiembre de 2019 al concluir que declarada extinguida la planificación radioeléctrica no cabe exigir la convocatoria de las reservas de dominio público incluidas en la misma al no existir ya reserva ni estar amparada esa posibilidad por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dicha sentencia la representación procesal de la entidad ahora recurrente en amparo interpuso recurso de casación, que fue desestimado por sentencia de la Sección Tercera de la Sala de lo Contencioso-Administrativo del Tribunal Supremo de 21 de enero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interés casacional advertido en el auto de admisión a trámite, la sentencia de casación expone la existencia de dos criterios jurisdiccionales distintos entre los diferentes tribunales superiores de justicia y distingue el caso que se le plantea, relativo a las circunstancias de aplicación y a los efectos que los plazos prevenidos en el art. 27.4 de la Ley general de la comunicación audiovisual (LGCA) puedan tener sobre los planes técnicos y sobre la cobertura de las licencias vacantes, de otros examinados por el propio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Colige que nada hay en el art. 27 LGCA que pueda considerarse irrazonable o indebidamente restrictivo, en particular, al prever que el no aprovechamiento de espacios reservados al dominio público radioeléctrico para servicios de radiodifusión en un plazo concreto de tiempo tras la aprobación de la planificación correspondiente hace decaer dicha reserva. Tampoco considera que la aplicación del art. 27.4 LGCA incurra en prohibición de irretroactividad porque se proyecte sobre una planificación técnica aprobada con anterioridad a la entrada en vigor de la Ley general de la comunicación audiovisual, concluyendo que “de conformidad con lo dispuesto en el artículo 27.4 de la Ley general de comunicación audiovisual, el transcurso de los plazos estipulados en dicho precepto tras la aprobación de un plan técnico nacional de un servicio de radio o televisión, sin que la administración haya solicitado la afectación al servicio público de radio o televisión de que se trate de la reserva de dominio prevista en el citado plan o se haya convocado concurso para el otorgamiento de licencias, y sin que ningún interesado haya solicitado dicha convocatoria, la reserva de dominio decaerá y será excluida de la planificación. En consecuencia y dados tales presupuestos, la administración no estaría ya obligada a la convocatoria de concurso a solicitud de cualquier interesado hasta que se efectúe una nueva reserva de dominio y se produzca la correspondiente afectación al servicio público de radio o televisión”.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alegan las siguientes vulneraciones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que la negativa a convocar un concurso público por parte del Gobierno de la Comunidad Autónoma de Canarias amparándose en el transcurso de un plazo imputable a su propia inactividad y el consiguiente decaimiento de la planificación del espacio radioeléctrico ha imposibilitado el ejercicio de los derechos fundamentales a la libertad de información, comunicación y expresión, en relación con el art. 14 CE, en concreto, de su derecho a crear los medios de comunicación indispensables para el ejercicio del derecho a expresar y difundir libremente los pensamientos, ideas y opiniones mediante la palabra, el escrito o cualquier otro medio de reproducción [art. 20.1 a) CE] y a comunicar o recibir libremente información veraz por cualquier medio de difusión [art. 20.1 d) CE]. Entiende que prevalece el deber de convocar el concurso de adjudicación (art. 27.2 LGCA) sobre el eventual decaimiento de la reserva del espectro radioeléctrico (art. 27.4 LGCA) por lo que ha sido la inacción de la administración pública la causante de que no se haya aprovechado el espectro que el Estado ha otorgado a la comunidad autónoma, lo que invalida el acto recurrido por ser contrario a los derechos invocados. Alega que otras comunidades autónomas han convocado los concursos de licencias más allá del plazo establecido y que la negativa a convocar los concursos de adjudicación de licencias vacantes es incompatible con la Directiva 2018/1972, de 11 de diciembre, por la que se establece el Código europeo de las comunicaciones electrónicas, por crear barreras de acceso al mercado e inutilizar 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existe una patente contradicción entre las sentencias del Tribunal Supremo al diferenciar incorrectamente entre licencias de televisión digital y licencias de radiodifusión digital para la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fin, que la negativa a conceder una licencia de radiodifusión infringe el art. 10, apartado 1, del Convenio europeo de derechos humanos (CEDH) y cita las resoluciones del Tribunal Europeo de Derechos Humanos de 20 de octubre de 1997, asunto Radio ABC c. Austria; de 23 de noviembre de 1999, asunto Leveque c. Francia; de 7 de noviembre de 2000, asunto United Christian Broadcasters Ltd. c. Reino Unido; de 11 de octubre de 2007, asunto Glas Nadejda EOOD y Elenkov c. Bulgaria; de 17 de junio de 2008, asunto Meltex Ltd. y Movsessian c. Armenia, así como el dictamen del Comité de Derechos Humanos de Naciones Unidas, de 27 de octubre de 2016, en el caso Azagade c. Azerbaiyán.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vulnerado el derecho a la igualdad (art. 14 CE), al haberse convocado en otras comunidades autónomas concursos públicos de licencias de comunicación audiovisual. Mantiene que el art. 27.4 LGCA, al tener la consideración de normativa básica, debe aplicarse de forma similar en todo el territorio estatal y la dispar interpretación efectuada por las distintas comunidades autónomas, a juicio de la entidad recurrente, lesiona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octubre de 2022, la Sección Cuarta del Tribunal Constitucional acordó admitir a trámite la demanda de amparo, al apreciar que concurría en la misma una especial trascendencia constitucional [art. 50.1 de la Ley Orgánica del Tribunal Constitucional (LOTC)] porque el recurso podía dar ocasión al Tribunal para aclarar o cambiar su doctrina, como consecuencia de un proceso de reflexión interna [STC 155/2009, de 25 de junio, FJ 2 b)] y el asunto suscitado trascendía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dar cumplimiento a lo dispuesto en el art. 51 LOTC y formar la correspondiente pieza separada de suspensión, que fue concluida por ATC 160/2022, de 28 de noviembre, en el que se acordó denegar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se tuvo por personada a la Comunidad Autónoma de Canarias. Y, a tenor de lo dispuesto en el art. 52 LOTC, se dio vista de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presentó sus alegaciones mediante escrito registrado el 7 de diciembre de 2022 en el que reiteraba los argumentos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Comunidad Autónoma de Canarias, con la representación y asistencia de letrado de su servicio jurídico, presentó sus alegaciones mediante escrito registrado el 20 de enero de 2023, en el que rechaza que se hayan vulnerado los derechos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el 20 de enero de 2023 en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en primer lugar, que se haya producido una vulneración del art. 14 CE, al no existir el término válido de comparación exigido para que se produzca la vulneración, pues no se han dictado las resoluciones por los mismos órganos, ni en el caso del reproche dirigido al Tribunal Supremo concurre la identidad de supuestos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vulneración del art. 20.1 a) y d) CE al existir una regulación normativa que establece el marco temporal de reserva del espacio radioeléctrico a los efectos de convocar los correspondientes concursos. Entiende que corresponde al legislador una mayor libertad de configuración normativa para disciplinar los soportes técnicos e instrumentos de comunicación, que la que posee al ordenar directamente los derechos fundamentales del art. 20.1 CE. De este modo las resoluciones administrativas y las sentencias que aplican la regulación establecida en este ámbito difícilmente pueden lesionar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las resoluciones del Tribunal Europeo de Derechos Humanos citadas no son aplicables por tratarse de decisiones de inadmisión o, en el caso de la STEDH de 20 de octubre de 1997, asunto Radio ABC c. Austria, porque toda la actividad se subordinaba a una concesión del legislador federal que no se produjo, situación que se mantuvo durante tres periodos de tiempo, supuesto distinto al contemplado en la regulación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septiembre de 2023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resolución núm. 114/2018, de 20 de diciembre, de la Viceconsejería de Comunicación y Relaciones con los Medios de Canarias, que acuerda el archivo de la solicitud de convocatoria de concurso para la adjudicación de las licencias disponibles de comunicación audiovisual de radiodifusión sonora digital de ámbito local en la Comunidad Autónoma de Canarias por haber desaparecido el objeto del procedimiento, vulnera los derechos fundamentales a la libertad de información, comunicación y expresión [art. 20.1 a) y d) CE], en relación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Remisión a lo resuelto en la STC 89/2023,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que se plantea en este proceso de amparo es coincidente con el resuelto en la STC 89/2023, de 18 de julio, que excluyó que la actuación administrativa impugnada, en cuanto denegó la convocatoria del concurso solicitado para la concesión de licencias de prestación de servicios audiovisuales, vulnerara los derechos a expresar y difundir libremente los pensamientos, ideas y opiniones mediante la palabra, el escrito o cualquier otro medio de reproducción [art. 20.1 a) CE] y a comunicar o recibir libremente información veraz por cualquier medio de difusión [art. 20.1 d) CE], en relación con el principio de igualdad (art. 14 CE), lo que determina que, por idénticas razones, proceda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Mirendica,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amparo núm. 719-2021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criterio reflejado en la sentencia a que se refiere el encabezamiento y, en ejercicio de la facultad que me confiere el art. 90.2 de la Ley Orgánica del Tribunal Constitucional, manifiesto mi discrepancia con la argumentación y fallo de la sentencia aprobada por la Sala. Por ello, me remito, en su totalidad, al voto particular que realicé a la STC 89/2023, de 18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