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6215-2022, promovido por Euroinversiones Inmobiliarias Costa Sur, S.L., contra el auto del Juzgado de Primera Instancia e Instrucción núm. 4 de Lorca, de 14 de noviembre de 2018, que inadmitió la demanda de oposición a la ejecución formulada por dicha mercantil en el procedimiento de ejecución hipotecaria núm. 355-2018 instado por la entidad Banco de Sabadell; y contra el auto del mismo juzgado, de 7 de julio de 2022, que desestimó el recurso de reposición interpuesto contra la anterior resolución. Ha intervenido el Ministerio Fiscal. Se ha personado la entidad Pera Assets Designated Activity Company, actuando como sucesora procesal de la entidad financiera ejecutante.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septiembre de 2022, la procuradora de los tribunales doña Blanca Berriatua Horta, actuando en nombre y representación de Euroinversiones Inmobiliarias Costa Sur, S.L., bajo la defensa del letrado don Marcelino Gilabert García,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43 503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del proceso, dictó auto el 26 de junio de 2018 por el que acordó el despacho de ejecución (procedimiento de ejecución hipotecaria núm. 355-2018) y requirió de pago a las ejecutadas, indicando el derecho que a estas les correspondía de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julio de 2018, el servicio de notificaciones electrónicas de la Fábrica Nacional de Moneda y Timbre remitió un correo al buzón de la dirección electrónica habilitada de la entidad aquí recurrente en amparo, avisándole de una notificación del Juzgado de Primera Instancia e Instrucción núm. 4 de Lorca relativa al proceso “EJH/0000355/2018”, notificación a la que podía acceder entre los días 3 de julio y 18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 de agosto de 2018 por personal de la recurrente se accedió al enlace remitido por la dirección electrónica habilitada y, con ello, a la notificación enviada por el juzgado de primera instancia en relación con el procedimiento hipotecario núm. 355-2018.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septiembre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Lorca proveyó los dos escritos de las ejecutadas en una misma resolución mediante auto el 14 de noviembre de 2018, por el que inadmitió a trámite la oposición formulada por la parte ejecutada Euroinversiones Inmobiliarias Costa Sur, S.L., y Penrei Inversiones, S.L., por estar presentada fuera de plazo, con cita de los arts. 134 y 136 de la Ley de enjuiciamiento civil (LEC), en relación con el art. 695 LEC. En el auto se argumenta que debió haberse planteado la oposición dentro de los diez días siguientes a la notificación del auto y decreto por el que se despachó la ejecución y la ejecutada lo hizo el 3 de septiembre de 2018, es decir, pasado el término. Al final de la resolución se informaba de la posibilidad de interposición de recurso de reposición en el plazo de cinco días ante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Euroinversiones Inmobiliarias Costa Sur, S.L., interpuso recurso de reposición contra el anterior auto. En lo que aquí importa, el recurso defendió que la notificación y requerimiento de pago habían tenido lugar cuando accedió al contenido de la notificación electrónica remitida y no antes, siendo desde entonces que cabía computar el plazo de diez días del art. 556 LEC. Con invocación también de los arts. 135, 152.1.2.3, 155.2, 162 y 273 LEC, y de la doctrina de este Tribunal Constitucional sobre el derecho a no padecer indefensión, así como la relativa a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Primera Instancia e Instrucción núm. 4 de Lorca dictó auto el 7 de julio de 2022, por el que desestimó el recurso de reposición interpuesto por la representación de Euroinversiones Inmobiliarias Costa Sur, S.L., contra el auto de 14 de noviembre de 2018. En el razonamiento jurídico único expone que el escrito de oposición fue presentado fuera de plazo. No puede entenderse que el auto despachando la ejecución y el requerimiento efectuado deban entenderse notificados el 3 de agosto de 2018, fecha en la que se accedió efectivamente a las citadas resoluciones, como pretende la ejecutada. Por el contrario, señala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Indica el auto finalmente que contra el mismo “no cabe recurso alguno, sin perjuicio de reproducir la cuestión objeto de la reposición al recurrir, si fuera posible, la resolución definitiva (artículo 454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Reprocha además que el juzgado haya hecho el cómputo del plazo para oponerse desde la fecha del envío del correo a la dirección electrónica habilitada y no desde 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los fundamentos que considera más relevantes de las SSTC  47/2019, de 8 de abril, y 40/2020, de 27 de febrero, que —según afirma— resolvieron asuntos prácticamente iguales al del presente recurso de amparo y considera que el órgano judicial no ha dado cumplimiento a las exigencias constitucionales reconocidas para los actos de notificación procesal, conculcando el derecho de defensa mediante la correspondiente contradicción. Refiere que la resolución cuestionada contraviene la doctrina del Tribunal Constitucional indicada y relaciona los recursos de amparo interpuestos que han sido estimados aplicando la referida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otorgue el amparo, se reconozca el derecho de la recurrente a la tutela judicial efectiva y se declare la nulidad de los autos de 14 de noviembre de 2018 y de 7 de julio de 2022, dictados por el Juzgado de Primera Instancia e Instrucción núm. 4 de Lorca y se retrotraigan las actuaciones al momento procesal oportuno, a fin de que se realice nuevamente el emplazamiento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355-2018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dictó providencia el 8 de mayo de 2023 por la que acordó: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dirigir comunicación al Juzgado de Primera Instancia e Instrucción núm. 4 de Lorca, a fin de que en el plazo de diez días emplace a quienes hubieran sido parte en el procedimiento, excepto la parte recurrente en amparo, para que puedan comparecer en el recurso de amparo; y finalmente, formar la correspondiente pieza separada de suspensión, en la que formuló alegaciones el Ministerio Fiscal interesando la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6 de junio de 2023 la procuradora de los tribunales doña María Claudia Munteanu, con la asistencia letrada de doña Inmaculada García Linero, actuando en nombre y representación de la entidad Pera Assets Designated Activity Company, solicitó se tuviera a esta última como personada y parte recurrida en lugar de la ejecutante Banco Sabadell, S.A., entendiéndose con dicha procuradora las actuaciones sucesivas de este proceso. Justificaba su petición en la escritura de cesión onerosa de créditos hipotecarios suscrita con el Banco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junio de 2023 se acordó tener por personada y parte en el procedimiento a la Procuradora doña Claudia Munteanu en nombre y representación de Pera Designated Activity Company y dar vista de las actuaciones a las partes personadas y al Ministerio Fiscal por plazo común de veinte días para que pudieran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12 de julio de 2023, por el que interesó de este tribunal que dictara sentencia otorgando el amparo a la recurrente, con reconocimiento de la vulneración de su derecho a la tutela judicial efectiva sin indefensión (art. 24.1 CE), declarando la nulidad de los autos impugnados así como la nulidad de las actuaciones realizadas a partir del emplazamiento de la entidad recurrente por el Juzgado de Primera Instancia e Instrucción núm. 4 de Lorca, en el juicio de ejecución hipotecaria 355-2018, y la retroacción de las actuaciones al momento inmediato anterior a aquel emplazamiento, debiendo llevarse a cabo de nuevo el emplazamiento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este recurso es uno más de los recursos que componen la serie de los interpuestos por Euroinversiones Inmobiliarias Costa Sur, S.L., y Penrei Inversiones, S.L., frente a diversos autos dictados en procedimientos hipotecarios tramitados por diferentes juzgados de primera instancia de Lorca, por idénticas vulneraciones; la mayoría de ellos ya han sido resueltos por el Tribunal, en concreto en la sentencia del Pleno 40/2020, de 27 de febrero, y en las SSTC 43/2020, de 9 de marzo, y 103/2021,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suscitada es la vulneración del derecho a la tutela judicial efectiva por la inadecuada utilización de la dirección electrónica habilitada como cauce de comunicación del primer emplazamiento procesal e inadmisión de la oposición a la ejecución resultante de la confusión del deber de las personas jurídicas de relacionarse con la administración de justicia por medio de comunicaciones electrónicas con la regulación del primer emplazamiento en los procesos civiles, es idéntica a la suscitada en este amparo. Afirma el fiscal que no es necesario realizar mayor esfuerzo argumentativo en el presente recurso que supone, como queda dicho, uno más de la serie y procede aplicar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13 de julio de 2023, por el que interesó se dictara resolución estimatoria del recurso de amparo, haciendo mención a la STC 40/2020, del Pleno del Tribunal Constitucional, que resuelve el recurso de amparo 5377-2018, promovido por la misma parte, Euroinversiones Inmobiliarias Costa Sur, S.L., “en asunto prácticamente igual al del presente recurso de amparo”, lo que refuerza las exigencias para llevar a efecto el primer emplazamiento tal y como prevé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21 de julio de 2023 dejando constancia de la presentación de los escritos de alegaciones del Ministerio Fiscal, del representante procesal de la recurrente en amparo y de su falta de presentación por la entidad personada,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21 de septiembre de 2023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como bien afirma el Ministerio Fiscal, se integra en la serie de recursos de amparo interpuestos por dos entidades, una de ellas la aquí recurrente, demandadas en procesos de ejecución hipotecaria seguidos ante diversos juzgados de primera instancia de Lorca, los cuales, tras efectuar el primer emplazamiento por vía electrónica a través del servicio de notificaciones electrónicas y de dirección electrónica habilitada de la Fábrica Nacional de Moneda y Timbre, han inadmitido a trámite en los diferentes procedimientos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4 de Lorca de 14 de noviembre de 2018 y de 7 de julio de 2022, recaídos en el proceso hipotecario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27 de febrero, en la que tuvo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es obligado que nos remitamos a la fundamentación de la citada STC 40/2020 y consiguientemente estimar el presente recurso de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14 de noviembre de 2018 y de 7 de julio de 2022, dictados por el Juzgado de Primera Instancia e Instrucción núm. 4 de Lorca en el proceso de ejecución hipotecaria núm. 355-2018,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de Primera Instancia e Instrucción núm. 4 de Lorca de forma que resulte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Archivar el incidente de suspensión por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