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437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26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recurso de amparo núm. 2119-2023, promovido por don José Antonio Griñán Martínez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30 de marzo de 2023 la representación procesal de don José Antonio Griñán Martínez interpuso recurso de amparo contra: (i) la sentencia núm. 490/2019, de 19 de noviembre, dictada por la Sección Primera de la Audiencia Provincial de Sevilla en el rollo núm. 1965-2017, dimanante del procedimiento abreviado núm. 133-2016, que le condenó como autor de un delito de prevaricación [art. 404 del Código penal (CP)] en concurso medial con un delito de malversación (art. 432 CP) a las penas de seis años y dos días de prisión, inhabilitación especial para el derecho de sufragio pasivo durante el tiempo de la condena, e inhabilitación absoluta por tiempo de quince años y dos días,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 (ii) la sentencia de la Sala de lo Penal del Tribunal Supremo núm. 749/2022, de 13 de septiembre, que desestima el recurso de casación formulado por el demandante de amparo frente a la anterior, recurso de casación núm. 601-2020; y (iii) el auto del mismo órgano judicial de 16 de febrero de 2023, que inadmite el incidente de nulidad de actuaciones interpuesto frente a la citada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alegan dos grupos de motivos: (i) en primer lugar, vulneración del derecho a la legalidad penal (art. 25.1 CE) por irrazonable subsunción de los hechos declarados probados en los delitos de prevaricación administrativa (art. 404 CP) y malversación (art. 432 CP); (ii) en segundo lugar, vulneración del derecho a la presunción de inocencia (art. 24.2 CE) por falta de racionalidad en la valoración de la prueba sobre la que se asienta la apreciación del dolo eventual y, desde una vertiente extraprocesal de dicho derecho, por haberse anticipado la publicación del fallo con anterioridad a la notificación de la sentencia finamente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solicita por otrosí que se suspenda la ejecución de la sentencia condenatoria en los términos referidos única y exclusivamente a la pena privativa de libertad. A estos efectos, el demandante argumenta que: (i) la suspensión solicitada pretende evitar un perjuicio real y efectivo que se derivaría del ingreso en prisión del demandante de amparo y que afectaría de manera irreparable a su derecho al honor y a la imagen pública que tiene; (ii) concurren razones humanitarias dada la avanzada edad del demandante y habida cuenta que está aquejado de una enfermedad muy grave que obliga a la recepción de un tratamiento médico agresivo; (iii) ha transcurrido un largo tiempo desde la comisión de los hechos —datados entre los años 2000 y 2009— lo que hace que sea limitada la consideración de la alarma social generada por una eventual concesión de la suspensión; (iv) se ha presentado una solicitud de indulto ante el Ministerio de Justicia con más de 4000 firmas; (v) el demandante ha sufrido ya una fuerte condena social por estos hechos, habiéndose visto obligado incluso a ejecutar una auto-reclusión en su propio domicilio; (vi) la suspensión no adelantaría ninguna de las cuestiones de fondo, ni afectaría a los derechos fundamentales de terceros siendo que, además, existe una apariencia (fomus boni iuris) en cuanto al pronóstico de prosperabilidad de los argumentos elevados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del Tribunal Constitucional, por ATC 287/2023, de 5 de junio, de conformidad con el art. 11.2 de la Ley Orgánica del Tribunal Constitucional (LOTC), avocó para sí la decisión de admisión a trámite del presente recurso de amparo y acordó su procedencia, apreciando que concurre en el mismo especial trascendencia constitucional (art. 50.1 LOTC), porque el recurso plantea un problema o afecta a una faceta de un derecho fundamental sobre el que no hay doctrina de este tribunal [STC 155/2009, de 25 de junio, FJ 2 a)] y porque el asunto suscitado trasciende del caso concreto porque plantea una cuestión jurídica de relevante y general repercusión social y tiene unas consecuencias políticas generales [STC 155/2009, FJ 2 g)]. Además, en la misma resolución se decidió rechazar la solicitud de suspensión formulada en la demanda con base en el art. 56.6 LOTC y formar la oportuna pieza separada de suspensión y, en ella, conceder un plazo de tres días al Ministerio Fiscal y al solicitante de amparo para que efectuaran alegaciones respecto a dicha petición. Se propuso, asimismo, avocar al Pleno el conocimiento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en su reunión de 20 de junio de 2023, acordó recabar para sí el conocimiento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recurrente, mediante escrito registrado en este tribunal el 28 de junio de 2023, solicitó se le tuviera por desistido de su solicitud de medida cautelar interesada habida cuenta del dictado, por parte de la Sección Primera de la Audiencia Provincial de Sevilla, del auto de 26 de junio de 2023 por el que se acuerda la suspensión de la pena privativa de libertad (art. 80.4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día 20 de julio de 2023, presentó alegaciones en las que interesó se tuviera por desistido al recurrente en su petición de suspensión de la pena privativa de libertad que le fue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Partido Popular, a la que se ha tenido por personada y parte en la pieza principal por diligencia de ordenación de 27 de julio de 2023 del secretario de justicia del Pleno, presentó alegaciones en esta pieza separada el 1 de septiembre de 2023, en la que muestra su conformidad con el desistimiento interesado habida cuenta del dictado, por parte de la Audiencia Provincial de Sevilla, del auto de 26 de junio de 2023 por el que se acuerda acceder a la solicitud de suspensión de ejecución de la pena privativa de libertad impuesta a don José Antonio Griñán Martínez conforme al art. 80.4 del Código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Entre las formas de terminación del recurso de amparo figura, por aplicación supletoria de la legislación procesal ordinaria (art. 80 LOTC), la renuncia y el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terminación, por la lógica del sistema, puede producirse respecto de las incidencias suscitadas dentro del proceso en relación con concretas peticiones de las partes. En el caso presente el tenor inequívoco del escrito del recurrente referido en el ordinal 3 de antecedentes determina la necesaria terminación de la pieza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al recurrente, don José Antonio Griñán Martínez, de la petición de suspensión en el recurso de amparo avocado núm. 2119-2023, así como el archivo de la presente pieza separada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