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6609-2021, promovido por don Ivan Kovacevic contra el auto de prisión provisional de 12 de abril de 2021, dictado por el Juzgado de Primera Instancia e Instrucción núm. 2 de Coín en las diligencias previas núm. 323-2021 y contra los autos núm. 441/2021, de 10 de mayo y de 19 de julio de 2021 de la Sección Primera de la Audiencia Provincial de Málaga, dictados en el recurso de apelación núm. 441-2021.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Ivan Kovacevic, representado por la procuradora de los tribunales doña Andrea de Dorremochea Guiot y asistido del abogado don Manuel Montaño Monge, presentó escrito el 19 de octubre de 2021 en el registro de este tribunal anunciando su voluntad de interponer recurso de amparo contra las resoluciones mencionadas en el encabezamiento, que formalizó el 16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detenido en Alhaurín el Grande (Málaga), el 9 de abril de 2021, a las 16:30 horas, por los delitos de “organización criminal y tráfico de drogas”, según el “acta de detención e información de derechos y de los elementos esenciales de las actuaciones para impugnar la detención” del atestado núm. 3509-2021 de la comisaría de Policía Nacional de Fuengirola (Málaga), unidad de drogas y crimen organizado de la Costa del Sol, sección crimen organizado, de 9 de abril de 2021, en el que se solicitaba el secreto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detenido y otras cinco personas más, también detenidas y reseñadas en el mismo atestado, fueron puestos a disposición del Juzgado de Primera Instancia e Instrucción núm. 2 de Coín. El juzgado, mediante sendos autos de 12 de abril de 2021, incoó las diligencias previas núm. 323-2021 para recibirles declaración, previa instrucción de sus derechos en su condición de personas investigadas-detenidas, y declaró el secreto de las actuaciones para todas las partes, salvo para el Ministerio Fiscal, por tiempo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Kovacevic declaró ese mismo día con la asistencia del abogado que firma la demanda de amparo y de una intérprete de serbio; acto seguido se celebró la comparecencia del art. 505 de la Ley de enjuiciamiento criminal (LECrim) para decidir sobre su situación personal. La fiscal solicitó prisión provisional comunicada y sin fianza contra él. El abogado de la defensa se opuso alegando, entre otros motivos, que se encontraba en “una franca desigualdad de armas” provocada por el secreto de las actuaciones; que el día anterior había solicitado en comisaría acceder a los elementos esenciales de las actuaciones para poder ejercer la defensa, que en el día de la comparecencia había reiterado su petición en la sede judicial y que tanto en dependencias policiales como en el juzgado solo le habían comunicado que se trataba de una causa por tráfico de sustancias que no causan grave daño a la salud (marihuana) dentro de un grupo u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Formuladas las alegaciones, finalizó la comparecencia y el juzgado acordó la prisión provisional, comunicada y sin fianza del investigado mediante auto de 12 de abril de 2021, que disponía igualmente dicha medida cautelar para las otras cinco personas detenidas y puestas a disposición judicial junto al recurrente. La versión del auto notificada al demandante de amparo se limitaba a especificar la calificación jurídica de los hechos (delitos contra la salud pública de sustancia que no causa grave daño a la salud en cantidad de notoria importancia, de pertenencia a organización criminal y de defraudación de fluido eléctrico), su penalidad superior a dos años de privación de libertad y la finalidad de la medida cautelar (riesgo de fuga, evitar la reiteración delictiva y la destrucción de pruebas). En esta versión se disponía expresamente que la fundamentación relativa a las diligencias practicadas para establecer la autoría indiciaria de la comisión de los citados delitos se excluía “del presente auto por haber sido declarada secreta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de apelación contra el auto de prisión y solicitó su libertad provisional. Alegó, entre otros motivos, que la resolución recurrida vulneraba sus derechos a la libertad y a la tutela judicial efectiva sin indefensión porque: por un lado, se le había privado de su derecho de acceso a los elementos esenciales de las actuaciones declaradas secretas para defenderse frente a la solicitud de una medida cautelar privativa de libertad (citaba la doctrina de la STC 83/2019, de 17 de junio, en apoyo de su argumentación); por otro, la medida se había acordado de forma inmotivada al no enumerarse siquiera de manera somera cuáles eran los indicios de criminalidad que se le atribuían; y, finalmente, porque la intérprete no había tenido participación en la comparecencia y no le informó de la petición de prisión provisional formulada por la fiscal ni de sus razones, ni tampoco la juez le dio la posibilidad de efectuar alegaciones. El fiscal se opuso a la estimación del recurso al considerar que la medida cautelar cumplía con los requisitos y finalidades constitucionales y legales para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Málaga desestimó el recurso mediante auto núm. 441/2021, de 10 de mayo (rollo núm. 441-2021), en cuyos antecedentes se transcribía la parte de los fundamentos del auto del juzgado de instrucción que fue excluida del auto notificado al recurrente y donde se explicitaban las diligencias e indicios de su presunta participación en una organización criminal compuesta por ciudadanos de países de la Europa del Este dedicada al cultivo de marihuana para su traslado y distribución posterior en la Unión Europea. La Audiencia Provincial de Málaga confirmó la suficiencia de los indicios delictivos, la motivación de la medida cautelar y la razonabilidad de sus fines para evitar el riesgo de fuga derivado de la gravedad de la pena que pudiera imponerse y de su condición de extranjero sin arraigo en España, así como el peligro de reiteración delictiva que podía inferirse de las distintas plantaciones de marihuana intervenidas y de la participación de numerosas personas investigadas en una posible estructura delictiva con carácter de permanencia. La Sala concluía que el auto de prisión provisional no había generado ninguna indefensión material, “desde el momento en que la parte ha tenido conocimiento de las actuaciones, con las limitaciones propias del secreto sumarial acordado y podrá proponer la prueba que tenga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al auto de desestimación del recurso de apelación, la parte demandante promovió un incidente de nulidad de actuaciones y solicitó su nulidad, la del auto de prisión y su libertad provisional. En su escrito reprodujo las alegaciones y fundamentos de las vulneraciones denunciadas y añadió que, pese a lo que la Sala mantenía, “nunca tuvo acceso a los elementos esenciales de las actuaciones para impugnar ni la detención, ni la privación de libertad solicitada por el Ministerio Fiscal”. Asimismo, sostuvo que el auto desestimatorio de su recurso incurría en incongruencia omisiva al no haberse pronunciado sobre la vulneración relativa a la actuación de la intérprete y a la imposibilidad de efectuar alegaciones frente a la solicitud de la fiscal. El fiscal se opuso a la pretensión de nulidad al entender que se había dado cumplimento al derecho de acceso de las defensas a los elementos de las actuaciones de carácter esencial y que no había ninguna prueba de que el investigado, que estaba asistido de intérprete, desconociese al alcance de la petición de la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Málaga inadmitió el incidente de nulidad en su auto de 19 de julio de 2021. En cuanto a la denegación de acceso a las actuaciones, el auto señalaba que el secreto de sumario, por sí mismo, no violaba ningún derecho fundamental porque la publicidad del proceso se predicaba solo del juicio oral; el recurrente había tenido conocimiento suficiente de los hechos que se le imputaban con la limitaciones propias del secreto sumarial, así como de los indicios incriminatorios existentes. Con relación a la actuación de la intérprete y a la imposibilidad de alegar, el auto razonaba que la comparecencia se grabó con la asistencia del recurrente, de su letrado de libre elección y de una intérprete de serbio, “por lo que ninguna irregularidad ha ocurrido”. La sala apuntaba que, además, el recurrente había prestado nueva declaración asistido de intérprete y de letrado de libre designación ante el Juzgado de Instrucción núm. 12 de Málaga al que se inhibió la causa, en la que dio respuesta a las cuestiones que se le plantearon a través de la intérprete designada.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las resoluciones impugnadas vulneraron sus derechos a la libertad personal y a la tutela judicial efectiva sin indefensión. Tras exponer los antecedentes procesales y los requisitos del recurso de amparo, la demanda reproduce las alegaciones del recurso de apelación contra el auto de prisión provisional y las planteadas en el incidente de nulidad de actuaciones contra el auto desestimatorio de la apelación. Se repite así que se privó al demandante de su derecho de acceso a los elementos esenciales de las actuaciones secretas para defenderse de la solicitud de prisión provisional que fue adoptada, a su juicio, de forma inmotivada y sin enumerar al menos los indicios de criminalidad que se le atribuían. Y se reitera la queja respecto de su derecho a ser asistido de intérprete: la intérprete de serbio estuvo presente en la comparecencia para decidir sobre su situación personal, pero no tuvo participación en el acto, de modo que no se le informó de la petición de la fiscal ni se le concedió la posibilidad de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se declare que se han vulnerado sus derechos a la libertad personal (art. 17.1 CE) y a la tutela judicial efectiva sin indefensión (art. 24.1 CE), su restablecimiento y, a tal fin, que se anulen las tres resoluciones impugnadas y se decrete su inmediata libertad provisional o, subsidiariamente, se acuerden otras medidas cautelares menos gravosas. Mediante otrosí segundo de la demanda, el recurrente solicita la suspensión cautelar de la ejecución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de justicia de la Sección Segunda de la Sala Primera de este tribunal, mediante diligencias de ordenación de 20 de enero, 3 de marzo y 1 de abril de 2022, requirió al Juzgado de Primera Instancia e Instrucción núm. 2 de Coín, al Juzgado de Instrucción núm. 12 de Málaga y a la Sección Primera de la Audiencia Provincial de Málaga la remisión de los testimonios de sus respectivas actuaciones. Asimismo, mediante diligencia de ordenación de 12 de septiembre de 2022 solicitó del Juzgado de Instrucción núm. 12 de Málaga información actualizada de la situación personal del recurrente y de la situación procesal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del Tribunal Constitucional, mediante providencia de 12 de septiembre de 2022, admitió a trámite la demanda al apreciar que concurre en el recurso una especial trascendencia constitucional (art. 50.1 de la Ley Orgánica del Tribunal Constitucional: LOTC ) como consecuencia de que el órgano judicial pudiera haber incurrido en una negativa manifiesta del deber de acatamiento de la doctrina de este tribunal [STC 155/2009, de 25 de junio, FJ 2 f)]. Asimismo, tras comprobar que constaban remitidas algunas de las actuaciones previamente requeridas, acordó dirigirse al Juzgado de Instrucción núm. 12 de Málaga para que remitiese certificación o copia adverada de más actuaciones y para que emplazase a quienes hubiesen sido parte en el procedimiento, excepto al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conformidad con la solicitud de la parte actora, mediante nueva providencia de 12 de septiembre de 2022, dictada en la pieza separada de suspensión, se concedió un plazo común de tres días al recurrente y al Ministerio Fiscal para alegar lo que estimasen pertinente sobre la suspensión solicitada. El recurrente y la fiscal ante el Tribunal Constitucional, mediante sendos escritos presentados, respectivamente, el 16 de septiembre y el 30 de septiembre de 2022, evidenciaron que el recurrente, el 4 de noviembre de 2021, quedó en libertad provisional bajo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Málaga en su auto núm. 937/2021, de 4 de noviembre (recurso de apelación núm. 910-2021), acordó mantener la situación de prisión provisional del recurrente, eludible con el abono de una fianza de 20 000 €, retirada del pasaporte, prohibición de abandonar el territorio nacional sin la autorización del órgano judicial competente en cada momento y con la obligación de comparecer apud acta el primer día de cada mes. Comprobado el ingreso de la fianza el 4 de noviembre de 2021, el Juzgado de Instrucción núm. 12 de Málaga dictó auto en igual fecha acordando la libertad provisional del recurrente con las obligaciones citadas y expidió mandamiento de libertad al Centro Penitenciario de Alhaurín de la Torre, cuyo director acusó recibo e informó al juzgado de que el interno quedaba excarcelado el día 4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mediante auto de 24 de octubre de 2022, acordó archivar el incidente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secretaria de justicia de la Sala Primera de este tribunal, mediante diligencia de ordenación de 27 de octubre de 2022, tuvo por recibido el testimonio de las actuaciones del Juzgado de Instrucción núm. 12 de Málaga; tuvo a doña Oleksandra Mischenko por personada y parte en este procedimiento y para actuar en él representada por la procuradora doña Ana de la Corte Macías, con asistencia letrada de don Antonio Gatell Contreras; y, conforme a lo dispuesto en el art. 52.1 LOTC, acordó dar vista de las actuaciones por un plazo común de veinte días al Ministerio Fiscal y a las partes personadas para presentar alegaciones, formulándolas el recurrente y la fiscal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presentado el 25 de noviembre de 2022, dio por reproducidos los hechos de la demanda, expuso de nuevo su denuncia relativa a la vulneración de sus derechos a la libertad personal y a la tutela judicial efectiva sin indefensión con idénticos argumentos y reiteró su petición de que se le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en su escrito presentado el 19 de diciembre de 2022, solicitó la estimación del recurso al considerar que las resoluciones impugnadas vulneraron el derecho del recurrente a la libertad personal (art. 17.1 CE), en relación con el derecho a la tutela judicial efectiva sin indefensión (art. 24.1 CE), como consecuencia de haberse acordado la prisión provisional privándole de la garantía de acceso a los elementos esenciales de las actuaciones en la comparecencia del art. 505 LECrim. Subsidiariamente, solicitó la estimación del recurso por haberse acordado la prisión provisional sin que el recurrente hubiera estado asistido efectivamente por la intérprete designada en el acto de la comparecencia del art. 505 LECrim, y asimismo por motivación indebida de las resoluciones judiciales impugnadas. Para el restablecimiento del derecho fundamental interesó la nulidad de los autos impugnados con efectos declarativos, a la vista de la situación sobrevenida de libertad provisional del recurrente posterior a la interposición del recurso de amparo. Las peticiones anteriores se basaron, en síntesis, en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queja que fundamenta las vulneraciones de derechos en haberse denegado el acceso a los elementos esenciales de las actuaciones para ejercer la defensa en la comparecencia del art. 505 LECrim, la fiscal concluye que, de acuerdo con la doctrina constitucional sobre el derecho de acceso a las actuaciones judiciales declaradas secretas (SSTC 83/2019, de 17 de junio; 94/2019, de 15 de julio; 95/2019, de 15 de julio; 180/2020, de 14 de diciembre, y 80/2021, de 19 de abril), la medida de prisión provisional vulneró el derecho a la libertad del recurrente en relación con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 través de su letrado, denunció en la comparecencia la falta de información de los hechos concretos atribuidos y de los indicios existentes, así como la falta de acceso a las actuaciones esenciales para poder ejercer la defensa frente a la petición de prisión provisional del Ministerio Fiscal. Sin embargo, el órgano judicial —y con posterioridad la Audiencia— en lugar de velar por el cumplimiento de estas garantías (art. 302 último párrafo LECrim que remite al art. 505.3 párrafo segundo LECrim), guardó silencio y no atendió la denuncia de ningún modo como, por ejemplo, mediante la suspensión de la comparecencia para facilitar al recurrente el acceso a los elementos esenciales de las actuaciones para impugnar la privación de libertad y oponerse a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—prosigue la fiscal— se produjeron las citadas vulneraciones por falta de motivación de las resoluciones impugnadas al haberse excluido los indicios de criminalidad que existían contra el recurrente de los fundamentos del auto de prisión provisional que le fue notificado, impidiéndole conocer las razones o indicios que justificaban la medida. Se incumplió así la doctrina constitucional de la no derogación de la tutela judicial durante el secreto de sumario y el deber del órgano judicial de conciliar el buen fin de la investigación con el derecho a la defensa de la persona investigada y privada de libertad a la que no cabe sustraer los elementos esenciales para defenderse en las resoluciones que se le notifiquen (STC 143/2010, de 21 de diciembre, FJ 2). Se da la circunstancia de que los autos de la Audiencia Provincial incurrieron en una motivación arbitraria o manifiestamente errónea cuando afirmaron que el recurrente no sufrió indefensión material: la Audiencia partía en su respuesta del error de que el auto notificado al recurrente fue el auto original que acordaba la prisión provisional y que sí que explicitaba los indicios, en lugar de estar al auto de prisión provisional efectivamente notificado en el que tales indicios estaban expresamente excluidos.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queja que basa las lesiones en la ausencia de participación efectiva de la intérprete de serbio en la comparecencia, la fiscal también la admite al considerar que no se veló por el cumplimiento de la garantía de interpretación inherente al derecho a la tutela judicial efectiva sin indefensión (STC 41/2022, de 21 de marzo, FJ 5). El juzgado no garantizó —ni las resoluciones de la Audiencia lo repararon— “una defensa efectiva y contradictoria, mediante la asistencia del intérprete que asegurase que había comprendido lo que se estaba produciendo, para poder alegar y defenderse al respecto, no solo a través de su letrado, sino ejercitando el propio recurrente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los arts. 2.1 y 3.1 del acuerdo del Pleno del Tribunal Constitucional de 17 de enero de 2023, publicado en el “Boletín Oficial del Estado” de 19 de enero de 2023, el recurso lo conoce la Sala Segunda de este tribunal al conservar la magistrada la ponencia asignada.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2023 se señaló para la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12 de abril de 2021 del Juzgado de Primera Instancia e Instrucción núm. 2 de Coín, que acordó la prisión provisional del demandante en las diligencias previas núm. 323-2021; contra el auto núm. 441/2021, de 10 de mayo, que desestimó su recurso de apelación y contra el auto de 19 de julio de 2021, que inadmitió el incidente de nulidad de actuaciones contra el anterior, ambos dictados por la Sección Primera de la Audiencia Provincial de Málaga en el rollo de apelación núm. 441-2021.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—y la fiscal muestra su conformidad— que tales resoluciones son nulas por haber vulnerado sus derechos a la libertad personal (art. 17.1 CE) y a la tutela judicial efectiva sin indefensión (art. 24.1 CE), por los siguientes motivos: (i) Se le denegó el acceso a los elementos esenciales de las actuaciones judiciales declaradas secretas, impidiéndole ejercer su derecho a la defensa en la comparecencia en la que se decidía sobre su situación personal (art. 505 LECrim) y en la que la fiscal solicitó para él la medida cautelar de prisión provisional comunicada y sin fianza. (ii) El auto de prisión provisional carecía de motivación —no reparada por las erradas resoluciones que lo confirmaron— al haberse excluido expresamente de su fundamentación las diligencias practicadas y los indicios de su participación en los delictivos que se le atribuían. Y (iii) la intérprete de serbio que le asistió no tuvo participación en la comparecencia y no le informó de la petición de prisión provisional formulada por la fiscal ni de sus razones; ni tampoco la juez le dio la posibilidad de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Identidad con el recurso de amparo estimado en la STC 30/2023, de 17 de abril y doctrina constitucional aplicable al derecho de acceso a las actuaciones judiciales declaradas secretas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su causa de especial trascendencia constitucional, así como las alegaciones y pretensiones del recurrente coinciden con las del recurso de amparo núm. 6529-2021, interpuesto por otra de las personas detenidas y puestas a disposición del Juzgado de Primera Instancia e Instrucción núm. 2 de Coín, respecto de la que también se acordó su prisión provisional comunicada y sin fianza en el mismo auto de 12 de abril de 2021, que aquí se recurre. Los recursos de apelación y el incidente de nulidad de actuaciones interpuestos por este otro recurrente contra el auto de prisión provisional se desestimaron con una argumentación similar, respectivamente, mediante los autos de 10 de mayo y 19 de julio de 2021, dictados también por la Sección Primera de la Audiencia Provincial de Málaga, solo que en el rollo de apelación núm. 442-2021.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núm. 6529-2021 fue estimado por esta misma Sala Segunda, en su STC 30/2023, de 17 de abril, que anuló con efectos declarativos las resoluciones impugnadas por vulneración de los derechos a la libertad personal y de defensa (arts. 17.1 y 24.2 CE), al apreciar que se había denegado al recurrente su derecho de acceso a los elementos esenciales de las actuaciones judiciales declaradas secretas para impugnar su privación de libertad. La estimación de esta queja hizo innecesario examinar el resto de los motivos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idéntica posición en el procedimiento judicial del señor Kovacevic y el demandante en el recurso núm. 6529-2021, y las identidades de objeto, especial trascendencia constitucional, alegaciones y pretensiones entre sus respectivos recursos de amparo, determinan que se aplique la doctrina de la STC 30/2023, FJ 3, a la resolución del presente recurso y que resulte procedente —se adelanta— su estimación por la lesión de los derechos a la libertad personal y de defensa (arts. 17.1 y 24.2 CE) por la denegación del derecho de acceso a las actuaciones judiciales declaradas secretas, lo que hará innecesario, al igual que en la STC 30/2023, FJ 5, el examen del resto de los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fundamento jurídico tercero de la STC 30/2023, al que nos remitimos, resume la abundante doctrina constitucional sobre el derecho legalmente previsto [arts. 118.1 b), 302 último párrafo, 505.3, párrafo segundo, 520.2 d) y 527.1 d) LECrim] de acceso a los elementos esenciales del atestado policial para impugnar la legalidad de la detención (SSTC 13/2017, de 30 de enero; 21/2018, de 5 de marzo, y 181/2020, de 14 de diciembre); así como y sobre el derecho de acceso a los elementos esenciales de las actuaciones judiciales secretas, con el fin de preparar la defensa en la comparecencia convocada para decidir sobre la situación personal de la persona afectada por la medida privativa de libertad o para impugnar la prisión provisional acordada (SSTC 83/2019, de 17 de junio; 94/2019 y 95/2019, ambas de 15 de julio; 180/2020, de 14 de diciembre; 80/2021, de 19 de abril, y 4/2023, de 20 de febrero, y debemos añadir la STC 68/2023, de 19 de junio, dictada con posterioridad a nuestra STC 30/2023). En la STC 30/2023, FJ 3, se destaca la relevancia constitucional de la garantía de acceso para los derechos a la libertad personal y de defensa (arts. 17.1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sobre la garantía de acceso a las actuaciones judiciales bajo secreto sumarial, el respeto de los derechos a la libertad personal y de defensa exige reconocer que el secreto de las actuaciones no excluye el derecho de acceso para impugnar en términos fácticos y jurídicos la legalidad de la privación cautelar de libertad. Este derecho de acceso —junto al derecho a la información del que es complemento inescindible y al que le sirve de garantía instrumental— permite la igualdad de armas en el ejercicio del derecho de defensa. La garantía de acceso no opera de oficio, a diferencia de lo que sucede con el derecho a la información, sino que requiere rogación por parte de la persona interesada o de su defensa. El momento para solicitar el acceso a las actuaciones judiciales secretas puede efectuarse antes o al tiempo de decidir sobre la pertinencia de la medida cautelar de privación de libertad, o con posterioridad, bien a través del sistema de recursos contra al auto de prisión provisional o bien mediante solicitudes para su revisión. La garantía de acceso se limita a los elementos esenciales de las actuaciones para impugnar la legalidad de la privación de libertad; la concreción de estos elementos es necesariamente casuística y su especificación corresponde al órgano judicial competente que deba decidir sobre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recurso: estimación del motivo relativo a la denegación del derecho de acceso a las actuaciones judiciales declaradas secretas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resulta que el demandante, a través de su letrado, conforme al principio de rogación expresa, puso de manifiesto en la comparecencia para decidir sobre su situación personal la indefensión que le causaba la falta de acceso a las actuaciones judiciales declaradas secretas para poder enfrentarse a la prisión provisional solicitada por el Ministerio Fiscal. El juzgado de instrucción, advertido de tal situación, no posibilitó que el recurrente, con arreglo a lo dispuesto en el art. 505.3 párrafo segundo LECrim, ejerciera su derecho de acceso a los elementos esenciales de las actuaciones secretas que el juzgado tenía el deber de especificar para que la defensa pudiese cuestionar la petición de la fiscalía. Dictó así un auto de prisión provisional sin garantizar el derecho de acceso y lesionó de esa forma los derechos a la libertad personal y de defensa de señor Kovacevic.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tampoco fue reparada por ninguno de los dos autos dictados por la Sección Primera de la Audiencia Provincial de Málaga, puesto que obviaron la cuestión con respuestas genéricas sobre la ausencia de indefensión material, la constitucionalidad del secreto sumarial o el alcance del principio de publicidad para las partes o en las distintas fases del proceso penal. Y eso que el recurrente incluyó en sus escritos la referencia expresa a la STC 83/2019 y a la regulación legal, de la que resulta con claridad que el secreto de las actuaciones no excluye el derecho de acceso a los elementos esenciales de la causa para impugnar en términos fácticos y jurídicos la legalidad de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tal y como se resolvió en la STC 30/2023, FJ 5, debe estimarse el recurso [art. 53 a) LOTC] y reconocer —con efectos declarativos que se juzgan suficientes para reparar en esta sede el derecho fundamental lesionado, dado que el recurrente quedó en libertad bajo fianza durante la tramitación del recurso— que, mediante la denegación indebida del derecho de acceso del recurrente a los elementos esenciales de las actuaciones judiciales declaradas secretas para impugnar la privación de libertad, se ha vulnerado su derecho a la libertad personal y su derecho de defensa (arts. 17.1 y 24.2 CE), restableciéndolo en ellos mediante la anulación de las resoluciones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Ivan Kovacevic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y reconocer que ha sido vulnerado su derecho a la libertad personal y su derecho de defensa (arts. 17.1 y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del auto del Juzgado de Primera Instancia e Instrucción núm. 2 de Coín de 12 de abril de 2021, que decretó la prisión provisional, comunicada y sin fianza, del recurrente, en las diligencias previas núm. 323-2021, y de los autos núm. 441/2021, de 10 de mayo y de 19 de julio de 2021 de la Sección Primera de la Audiencia Provincial de Málaga que, respectivamente, desestimaron el recurso e inadmitieron el incidente de nulidad de actuaciones en el recurso de apelación núm. 441-2021.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