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536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6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las magistradas doña Concepción Espejel Jorquera y doña María Luisa Segoviano Astaburuaga, en el recurso de amparo núm. 5266-2023, promovido por don Julio Vales Ponte contra la sentencia núm. 172/2023, de 9 de marzo, y el auto de 26 de mayo de 2023 de la Sala Segunda del Tribunal Supremo, y contra la sentencia núm. 483/2020, de 14 de diciembre, de la Sección Tercera de la Audiencia Provincial de Madrid,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5266-2023 don Julio Vales Ponte ha impugnado las resoluciones judiciales indicadas en el encabezamiento de este auto, a las que atribuye haber vulnerado su derecho a la tutela judicial efectiva (art. 24.1 CE), en su vertiente de derecho a obtener una resolución fundada y congruente que cumpla los cánones de una argumentación razonable y lógica.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de 6 de noviembre de 2023, el magistrado don Cándido Conde-Pumpido Tourón, presidente de la Sección Primera, comunicó a los efectos oportunos que se abstenía de intervenir en el antes indicado recurso de amparo, de conformidad con el art. 80 de la LOTC, por concurrir en su persona la causa de abstención prevista en el artículo 219.9 de la Ley Orgánica del Poder Judicial (LOPJ), por el vínculo de amistad que le une al demandante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Cándido Conde-Pumpido Tourón, presidente de esta Sección Primera del Tribunal Constitucional, la Sección, en virtud de lo previsto en el art. 219.9 LOPJ, supletoria de la Ley Orgánica del Tribunal Constitucional (art.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Cándido Conde-Pumpido Tourón, presidente de esta Sección Primera, en el recurso de amparo núm. 5266-2023,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