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566</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13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7026-2022, promovido por doña Jeanne Zaina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octubre de 2022, la procuradora de los tribunales doña Berta Rodríguez-Curiel Espinosa, en nombre y representación de doña Jeanne Zaina y bajo la dirección del letrado don Jesús José Suárez Balmaseda, formuló demanda de amparo contra el auto de 19 de octubre de 2022, dictado por la Sección Primera de la Sala de lo Contencioso-Administrativo del Tribunal Supremo, en recurso de queja núm. 58-2021 contra el auto de la Sala de lo Contencioso-Administrativo del Tribunal Superior de Justicia de Granada, en recurso de apelación núm. 2180-2019.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30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7026-2022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