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13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7497-2022, promovido por la entidad Fertinagro Biotech, S.L.,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noviembre de 2022, la procuradora de los tribunales doña María Natalia Martín de Vidales Llorente, en nombre y representación de la entidad Fertinagro Biotech, S.L., y bajo la dirección del letrado don José Manuel Nolasco Gómez, formuló demanda de amparo contra la providencia de 19 de octubre de 2022 de la Sección Primera de la Sala de lo Contencioso-Administrativo del Tribunal Supremo, en recurso de casación 4817-2022.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7497-2022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