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14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2052-2023, promovido por don Josep Singla Barceló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marzo de 2023, don Josep Singla Barceló, representado por el procurador de los tribunales don Adolfo Eduardo Morales Hernández-Sanjuán, bajo la dirección del letrado don Emilio J. Zegrí Boada, interpuso recurso de amparo contra la providencia de 14 de febrero de 2023 dictada por la Sección Segunda de la Sala de lo Penal de la Audiencia Nacional, que inadmite el incidente de nulidad de actuaciones interpuesto por la representación procesal del recurrente en amparo frente al auto de 2 de diciembre de 2021, desestimatorio del recurso de revisión que interpuso contra el decreto de 18 de octubre de 2021, a su vez desestimatorio del recurso de reposición planteado contra el decreto de 6 de julio de 2021, en virtud del cual se incoa la ejecutoria núm. 91-2018, dimanante de la sentencia núm. 31/2018, de 29 de junio, dictada por la Sección Segunda de la Sala de lo Penal de la Audiencia Nacional en el rollo de sala núm. 1-2016, parcialmente revocada por la Sala de lo Penal del Tribunal Supremo en la sentencia núm. 664/2020, de 3 de diciembre, dictada en el recurso de casación núm. 4148-2018.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magistrada doña Concepción Espejel Jorquera, presidenta de la citada Sección Segunda de la Sala de lo Penal de la Audiencia Nacional, presidió el tribunal sentenciador y fue ponente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17 de enero de 2023, del Pleno del Tribunal Constitucional, por el que se dispone la composición de las Salas y Secciones del Tribunal Constitucional (“Boletín Oficial del Estado” núm. 16, de 19 de enero de 2023), a partir de la referida fecha la Sección Primera, presidida por el presidente del Tribunal, está integrada por don Cándido Conde-Pumpido Tourón, doña Concepción Espejel Jorquera y doña María Luisa Segoviano Astaburuaga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10 de noviembre de 2022, la magistrada doña Concepción Espejel Jorquera comunicó su voluntad de abstenerse en el conocimiento del presente recurso de amparo por entender que concurría la causa 11 del art. 219 de la Ley Orgánica del Poder Judicial (LOPJ), al haber formado parte, en su condición de presidenta de la Sección Segunda de la Sala de lo Penal de la Audiencia Nacional, del órgano judicial que dictó la sentencia núm. 31/2018, de 29 de junio, de la que fue ponente, en el rollo de sala núm. 1-2016, parcialmente revocada por la Sala de lo Penal del Tribunal Supremo en la sentencia núm. 664/2020, de 3 de diciembre, dictada en el recurso de casación núm. 4148-2018, de las cuales dimana la ejecutoria núm. 91-2018, en la que se han dictado las resoluciones impugnadas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presidido y actuado como ponente en el tribunal que dictó la sentencia en única instancia de la que trae causa la ejecutoria en la que se han dictado las resoluciones impugnadas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2052-2023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