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2028-2021, promovido por doña Gloria Silvero Salguero contra la sentencia de 7 de marzo de 2021 de la Sección Décima de la Sala de lo Contencioso-Administrativo del Tribunal Superior de Justicia de Madrid, recaída en el procedimiento sobre derecho de reunión núm. 279-2021, por la que se desestimó el recurso interpuesto contra la resolución de 3 de marzo de 2021 del delegado del Gobierno en la Comunidad de Madrid por la que se acordó la prohibición de la concentración convocada para el día 8 de marzo de 2021. Ha sido parte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Gloria Silvero Salguero representada por la procuradora de los tribunales doña Virginia Sánchez de León Herencia, bajo la dirección de la letrada doña Virginia del Castillo Rodríguez, interpuso recurso de amparo contra las resoluciones mencionadas en el encabezamiento de esta sentencia mediante escrito registrado en este tribunal el día 7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de 23 de febrero de 2021, la demandante, en su calidad de representante de la Comisión Feminista 8M-Coordinadora Feminista de Majadahonda, comunicó a la Delegación del Gobierno en la Comunidad de Madrid la realización de una concentración en el parque de Colón de Majadahonda (explanada frente a la calle de Santa Bárbara), el día 8 de marzo de 2021, entre las 18:00 y las 21:00 horas, con el lema “Ante la emergencia social, el feminismo es esencial”. La asistencia prevista por la organización era de unas cien personas, y se ofrecía garantizar todas las medidas sanitarias establecidas por las autoridades correspondientes: mantenimiento de la distancia, mascarillas, gel hidroalcohólico,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medio de resolución de 3 de marzo de 2021, el delegado del Gobierno en la Comunidad de Madrid acordó prohibir la celebración de dicha concentración por razones de salud pública. A tal efecto, y después de hacer cita tanto de la normativa legal reguladora del derecho de reunión (Ley Orgánica 9/1983, de 15 de julio), como de la normativa sobre el estado de alarma (reales decretos 463/2020, de 14 de marzo, y 926/2020, de 25 de octubre), así como de la doctrina constitucional que entiende aplicable, señala la resolución, en el fundamento de Derecho séptimo, que se han de “considerar los elementos tanto de contexto temporal y territorial como los aspectos concretos del hecho comunicado, siendo el más evidente en estos momentos que tras las consecuencias provocadas por las reuniones familiares de las navidades, estamos afrontando el resultado de la ‘tercera ola’ [del covid-19], si cabe, con mayor virulencia que las anteriores”. Pasa a referirse luego a las medidas adoptadas por las autoridades sanitarias de la Comunidad de Madrid, que han resultado restrictivas de la movilidad, en función de la evolución del virus; si bien la propia Delegación del Gobierno reconoce que una “tendencia a la baja de los datos generales aportados por el Ministerio de Sanidad es patente”, aunque, remacha, la bajada es más lenta en esta comunidad autónoma. Prosigue tratando la resolución, en el fundamento de Derecho octavo, con la gran cantidad de personas que desean manifestarse el 8 de marzo, día internacional de la mujer, y que el propio Gobierno de España ha efectuado llamamientos para que no se realicen concentraciones masivas ese día; advertencia que sin embargo cree que no tiene intención de seguir la Plataforma 8M, dado el número de convocatorias comunicadas en tan solo tres días (setenta y cinco), sin que tras su celebración pueda garantizarse que no exista el riesgo de reagrupamiento de varias concentraciones. Prosigue diciendo en el fundamento de Derecho noveno que luego de “haberse prohibido por motivos sanitarios las dos grandes manifestaciones la semana pasada, se están convocando este tipo de concentraciones más pequeñas que permite ver una misma causa fragmentada; es decir, muchas concentraciones pero con menos personas. La intención no es la de buscar alternativas que permitan reivindicar la causa”. Y añade cuáles a juicio de la Delegación del Gobierno en la Comunidad de Madrid podrían ser tales alternativas: “[S]e han realizado en vehículos, de manera virtual o desde los balcones”.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los informes recabados por la Delegación del Gobierno, que indican que últimamente no ha habido variaciones en la situación sanitaria (fundamento de Derecho décimo), se adopta finalmente la decisión sobre la presente convocatoria en el fundamento de Derecho undécimo de la resolución: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contencioso administrativo contra la anterior resolución ante el Tribunal Superior de Justicia de Madrid, con invocación de los derechos fundamentales de reunión (art. 21 CE) y a la igualdad en su vertiente de prohibición de la discriminación por razón de género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fue conocido por la Sección Décima de la Sala de lo Contencioso-Administrativo del Tribunal Superior de Justicia de Madrid (procedimiento de derecho de reunión núm. 279-2021), la cual dictó sentencia desestimatoria de 7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analizar el contenido del escrito de comunicación que presentó la recurrente, de la resolución administrativa impugnada, así como de los distintos informes que fueron incorporados a las actuaciones judiciales, y efectuar una detallada exposición de la doctrina de este Tribunal Constitucional y del Tribunal Europeo de Derechos Humanos sobre el ejercicio del derecho de reunión y sobre los límites de este —deteniéndose de modo especial en el ATC 40/2020, de 30 de abril—, razona en el fundamento de Derecho octavo que la resolución impugnada cumple con el nivel de motivación exigible, ya que exterioriza las razones por las que considera que el ejercicio del derecho de manifestación comunicado por la recurrente entrañaba un grave riesgo para la salud pública, para los propios manifestantes y para quienes tuvieran “accidentalmente” contacto con ellos, debiendo tenerse además en cuenta el llamado principio de precaución o cautela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de Derecho noveno, la Sección juzgadora somete la resolución administrativa al llamado test de proporcionalidad, el cual considera superado favorablemente “utilizando los mismos criterios que en nuestra sentencia de 30 de abril de 2020”, por cuanto: “la prohibición de la concentración comunicada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 concentración y posterior manifestación; y (iii) proporcionada, en sentido estricto, es decir, ponderada o equilibrada por derivarse de ella más beneficios o ventajas para el interés general que protege que perjuicios sobre el derecho de reunión de los manifestantes”. Concluye así, a la vista de las anteriores consideraciones, en el otorgamiento de prevalencia en favor de bienes y valores constitucionales “como la salud pública y, más concretamente, la salud, la integridad física y la vida de las personas (artículos 15 y 43 CE)”, sobre 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fundamento de Derecho décimo, la sentencia desestima que la resolución gubernativa haya representado una forma de discriminación por razón de género, para lo que cita doctrina constitucional —STC 3/2007, de 15 de enero, y otras— expositiva de la noción de discriminación indirecta por razón de sexo, a partir de las formulaciones del Derecho comunitario originario y derivado y su jurisprudencia interpretativa en el ámbito laboral por el Tribunal de Justicia de la Unión Europea, donde se define la discriminación indirecta como la aplicación de una medida que, siendo aparentemente neutra, perjudica en un porcentaje claramente superior a los miembros de un sexo que de otro, salvo que se trate de una medida objetivamente justificada por responder adecuada y necesariamente a una finalidad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juzgadora entiende que este planteamiento sin embargo no es trasladable al presente caso, en el que la medida restrictiva se funda en razones de salud pública que la parte recurrente no ha desvirtuado, sin haberse aportado en las actuaciones, por lo demás, un término válido de comparación que permita vislumbrar en la medida de prohibición de la convocatoria mencionada, la existencia de razones implícitas distintas de las razones de salud pública, las cuales importan por igual a los ciudadanos y a las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efectuar un sintético relato de los hechos que le sirven de fundamento,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reunión garantizado en los arts. 21 CE y 11 del Convenio europeo de derechos humanos (CEDH), sosteniendo en primer lugar que tanto la resolución del delegado del Gobierno como la sentencia del Tribunal Superior de Justicia de Madrid son arbitrarias: la primera de ellas, porque prohíbe la concentración sin disponer todavía del informe de la Consejería de Sanidad de la Comunidad de Madrid y la sentencia, por su lado, porque si bien ya dispone del informe referido, extrae de él una valoración errónea pues en el mismo se aconsejaba limitar el número de concentraciones y la adopción de medidas de seguridad, condiciones que cumplía la concentración convocada; esta última además no iba a coincidir en el tiempo y en el espacio con ninguna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diciendo la demanda que el Tribunal Superior de Justicia de Madrid se ha fundado además en elementos inconcluyentes: (i) un informe de la Jefatura Superior de Policía de Madrid que plantea meras hipótesis (que la concentración puede coincidir con otras, que los participantes pueden negarse a seguir las medidas de seguridad) sin ofrecer datos contrastables; (ii) un informe de la directora general de Salud Pública que se refiere a una concentración distinta; y (iii) unos documentos aportados por el abogado del Estado, en concreto un informe de aguas residuales de la Comunidad de Madrid y un artículo suscrito por varias sociedades científicas que desaconsejaba la celebración de grandes movilizaciones, como las que habían tenido lugar en años anteriores, pero de características completamente distintas a la convocada. Ninguno de estos argumentos, sostiene la recurrente, es capaz de proporcionar las razones convincentes e imperativas y los datos objetivos suficientes derivados de las circunstancias concretas de cada caso, que demanda la doctrina constitucional para que pueda entenderse justificada la restricción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verificó adecuadamente el juicio de proporcionalidad porque la prohibición de la concentración no era una medida adecuada para conseguir el objetivo propuesto, la protección de la salud pública, en el contexto social en el que se adoptó dicha medida, caracterizado por la total normalidad en que se desarrollaba la vida cotidiana madrileña: bares y terrazas abiertas, concurrencia de numerosas personas en espacios cerrados y sin garantizar la distancia de seguridad de 1,5 metros como en el transporte público, obras de teatro y cine. La prohibición no solo “no consiguió el objetivo propuesto sino que […] provocó que muchísimas mujeres salieran a las calles de una forma desorganizada por el barrio, y no como se había previsto por la convocante, que era de forma simbólica, en un punto concreto, con una limitación de aforo y vigilando el cumplimiento respetuoso de todas las medidas de seguridad”. Añade que tampoco fue una medida necesaria, pues al margen de que era la única convocatoria anunciada en ese mismo lugar y hora, “antes que prohibirla podría haberse limitado temporalmente”; o bien en cuanto al aforo calculado, “una medida más moderada antes que la prohibición podría haber sido limitar el número de asistentes a la convocatoria”. Finalmente, niega la recurrente que la prohibición fuera una medida proporcionada en sentido estricto, dado que se ha adoptado sin atender a que en ese momento ya se había reducido el número de convocatorias, y con base en “conjeturas y generalidades”.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igualdad y la no discriminación del art. 14 CE, alegando que el hecho de que se prohibieran todas las convocatorias feministas de los días 7 y 8 de marzo de 2021, cuando en la Comunidad de Madrid se venían celebrando desde el mes de enero del mismo año concentraciones y manifestaciones convocadas por otros colectivos, revela que las mujeres feministas han sufrido discriminación directa e indirecta, pues han recibido un trato desigual sin que se les ofreciera una justificación objetiva y razonable, tal y como exige la doctrina constitucional para que la desigualdad de trato sea legítima. Añade que se han visto sujetas a una prohibición por razones de salud pública que les ha afectado de manera desproporcionada en el ejercicio de sus derechos fundamentales a la libertad de expresión y de manifestación respecto del resto de colectivos, a los que en el mismo contexto social y sanitario de pandemia no se les ha impedido ejercer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de amparo pide que este tribunal dicte sentencia por la que se otorgue a la recurrente el amparo solicitado, “con reconocimiento expreso de los derechos invocados” y declare que las resoluciones impugnadas han vulnerado los derechos fundamentales invocados. Concluye el suplico diciendo que, si bien ya no es posible la restitución íntegra del derecho lesionado, “no le quita sentido al amparo solicitado que mantiene su reparación como restitución moral del derecho fundamental y con efectos ejemplarizantes para próximas ocasiones, en tutela del derecho fundamental de la convocante, así como, del millar de personas, que acuden anualmente a esta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Sección Primera, Sala Primera, de este Tribunal Constitucional, de 9 de abril de 2021, se otorgó un plazo de diez días a la procuradora de la parte recurrente para que acreditase “en legal forma la representación procesal que dice ostentar”. Dicha profesional cumplimentó este requerimiento en virtud de escrito y documentación aportada (certificado electrónico apud acta de representación procesal) el 13 de abril de 2021; de lo que dejó a su vez constancia la Secretaría de Justicia en diligencia de 14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24 de enero de 2022, se acordó la admisión a trámite del recurso, apreciando “que concurre en el mismo una especial trascendencia constitucional [art. 50.1 de la Ley Orgánica del Tribunal Constitucional (LOTC)] porque el recurso puede dar ocasión al Tribunal para aclarar o cambiar su doctrina, como consecuencia del surgimiento de nuevas realidades sociales [STC 155/2009, de 25 de junio, FJ 2 b)]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también se acordó dirigir atenta comunicación a la Sección Décima de la Sala de lo Contencioso-Administrativo del Tribunal Superior de Justicia de Madrid, a fin de que remitiera certificación o fotocopia adverada de las actuaciones correspondientes al procedimiento de derecho de reunión núm. 279-2021. Y siendo el abogado del Estado, en representación de la administración, parte interesada, se acordó igualmente que le fuera notificada dicha providencia a efectos de emplazamiento a fin de comparecer en el plazo de diez días, si lo estimara pertinente,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9 de febrero de 2022, el abogado del Estado-jefe ante este Tribunal Constitucional, se personó en este recurso con la representación que legalmente ostenta, solicitando se entendiesen con él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11 de febrero de 2022 la Secretaría de Justicia de la Sala Primera de este tribunal dictó diligencia de ordenación por la que tuvo por personado y parte al abogado del Estado, en nombre y representación de la administración pública demandada; y a tenor de lo previsto en el art. 52 LOTC se dio vista de todas las actuaciones del presente recurso, “en la Secretaría de esta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mediante escrito registrado en este tribunal el 9 de marzo de 2022, formuló alegaciones en las que se ratifica 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en tal sentido que ni la Delegación del Gobierno en Madrid ni el Tribunal Superior de Justicia de Madrid fundaron la prohibición de la concentración en razones convincentes e imperativas que se basaran en datos objetivos suficientes derivados de las circunstancias concurrentes en el caso, como exige la doctrina constitucional para limitar o prohibir el ejercicio del derecho de reunión. Por otro lado, entiende que se produjo un agravio comparativo derivado de que en los meses de enero a marzo de 2021 se celebraron en la Comunidad de Madrid numerosas concentraciones y manifestaciones convocadas por distintos colectivos y con diferente objeto, de características similares a las que se convocaron por el colectivo feminista para los días 7 y 8 de marzo, resultando prohibidas únicamente estas, lo que representó una discriminación directa e indirecta carente de motivación y fundamento objetivo, que ha conllevado consecuencias muy gravosas que afectan de manera desproporcionada a las mujeres feministas. Interesa por ello que teniendo por cumplido el trámite del art. 52 LOTC, se dicte una sentencia estimatoria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este Tribunal Constitucional presentó sus alegaciones en el registro de este tribunal el día 10 de marzo de 2022, mediante las cuales propugna la inadmisión parcial del recurso en cuanto a la vulneración del derecho a la igualdad por razones procesales, y su desestimación respecto de la denuncia de infracción del derecho de reunión, efectuando para ello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luego de hacer un resumen de los antecedentes del caso y del contenido de las resoluciones impugnadas, argumenta la fiscal que la cognición limitada del procedimiento judicial elegido por la actora para impugnar la resolución gubernativa, que es el especial de protección jurisdiccional del derecho fundamental de reunión previsto en el art. 122 de la Ley reguladora de la jurisdicción contencioso-administrativa (LJCA), hace incompatible la acumulación de objeto con otros derechos fundamentales, en concreto con el aquí invocado de igualdad y prohibición de la discriminación del art. 14 CE, ello sin perjuicio de que pudiera tutelarse por otras vías como la del procedimiento para la protección de derechos fundamentales de los arts. 114 y siguientes de la misma LJCA. Por tanto no debe examinarse en amparo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ya en cuanto al fondo de la queja de vulneración del derecho de reunión y manifestación, el escrito de alegaciones de la fiscal rechaza la denuncia de la demandante de amparo, que imputa a la resolución del delegado del Gobierno la falta de motivación exigible para restringir el derecho fundamental de reunión del art. 21 CE. Argumenta la fiscal, con previa cita de doctrina constitucional sobre los límites en el ejercicio de este derecho, que la restricción sufrida por la demandante y la plataforma en la que se integra en cuanto a la concentración convocada, se efectúa en la resolución administrativa impugnada con base en razones objetivas, y es proporcionada en cuanto resultaba necesaria para garantizar los derechos a la integridad y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tras exponer la argumentación contenida en la sentencia recurrida acerca del cumplimiento por la resolución administrativa de las exigencias de motivación suficiente y juicio de proporcionalidad realizado por la Delegación del Gobierno, y del examen de los informes valorados por el Tribunal Superior de Justicia de Madrid, concluye la fiscal que “en el presente caso la restricción del ejercicio del derecho de reunión tiene una finalidad legítima con cobertura constitucional bastante en los arts. 15 CE (garantía de la integridad física y la vida de las personas) y 43 CE (protección de la salud), que como señala la sentencia recurrida ‘deben prevalecer frente a aquel (derecho fundamental de reunión), justificando su sacrificio, al amparo de lo previsto en el art. 21.2 CE y 11.2 CEDH, en relación con el artículo 10.3 CE, que establece el principio de interpretación de los derechos fundamentales y las libertades públicas que la Constitución reconoce de conformidad con los tratados y acuerdos internacionales sobre las mismas materias ratificadas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Abogacía del Estado presentó sus alegaciones en el registro de este tribunal el día 14 de marzo de 2022,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derecho de reunión (art. 21 CE) sostiene, con una amplia referencia al ATC 40/2020, que se ha respetado el principio de proporcionalidad en las resoluciones impugnadas, ya que se ha expuesto de manera motivada la prevalencia de las razones sanitarias concurrentes para prohibir finalmente las concentraciones convocadas, fundado en los informes obrantes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discriminación indirecta del colectivo feminista, argumenta que tal cuestión fue debidamente abordada y resuelta en la sentencia impugnada, que desestimó la concurrencia de tal discriminación, con cita de la STC 91/2019, de 3 de julio, FJ 7, porque no se aportó un término válido de comparación que permita vislumbrar que en el presente caso la denegación de la concentración solicitada se haya basado implícitamente en razones distintas de las alegadas razones de salud pública que preocupan a todas los ciudadanos y ciudadanas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dictó una diligencia el 15 de marzo de 2022, dejando constancia de haberse recibido los escritos del Ministerio Fiscal, la procuradora de la recurrente y el abogado del Estado,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ha sido vulnerado el derecho fundamental de reunión y manifestación (art. 21 CE) y el derecho a la igualdad en su vertiente de no discriminación por razón de género (art. 14 CE) de la parte demandante, mediante la resolución de la Delegación del Gobierno en la Comunidad de Madrid, de 3 de marzo de 2021, que prohibió la celebración de la concentración que había convocado para el día 8 de marzo de 2021 la Comisión Feminista 8M-Coordinadora Feminista de Majadahonda, con motivo del día internacional de la mujer, en el parque de Colón de Majadahonda, explanada frente a la calle de Santa Bárbara, de 18:00 a 21:00 horas. Se impugna también la sentencia de 7 de marzo de 2021, de la Sección Décima de la Sala de lo Contencioso-Administrativo del Tribunal Superior de Justicia de Madrid, que confirmó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ya se han resumido en los antecedentes, la demandante interesa la estimación de la demanda por entender vulnerados los referidos derechos fundamentales y la consecuente anulación de las resoluciones, administrativa y judicial, impugnadas. Por su parte, también con arreglo a los motivos que se han hecho constar en esta sentencia, la abogacía del Estado interesa la desestimación íntegra de la demanda; mientras, la fiscal ante este tribunal interesa la inadmisión parcial de la demanda en cuanto a la lesión del art. 14 CE, y la desestimación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expuesta en la STC 164/2023,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es coincidente con la resuelta por la STC 164/2023, por lo que debemos remitirnos a sus fundamentos jurídicos 2 y 3, en los que respectivamente expusimos la doctrina constitucional sobre el derecho de reunión y manifestación (art. 21 CE) y procedimos a su aplicación a un supuesto que guarda identidad de razón con el presente, dado que también entonces se trataba de una manifestación prohibida dentro del territorio de la Comunidad de Madrid el día 8 de marzo de 2021, y este tribunal tuvo en cuenta para su decisión las normas relativas a la movilidad de las personas dictadas en aquel momento por la autoridad sanitaria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en la referida sentencia, también aquí debemos concluir, que la prohibición gubernativa vulneró el art. 21 CE y supuso una restricción desproporcionada del derecho de reunión y manifestación del que era titular la parte demandante y de los miembros de la plataforma ciudadana en la que aquella se integraba, dado que si bien la motivación de la resolución administrativa fue la exigible, y desde la perspectiva del test de proporcionalidad la medida de prohibición cumplió con los atributos de idoneidad (la medida era la más eficaz para obtener el resultado de evitar los contagios) y necesidad (no cabían medidas alternativas menos invasivas del derecho fundamental), sin embargo, por lo que hace a la proporcionalidad en sentido estricto, la prohibición de la concentración comunicada por la recurrente supuso la máxima afectación del derecho fundamental, con un bajo valor de utilidad para el fin de preservar la salud pública, pues concurría ya en aquel momento una realidad muy distinta a la existente durante la vigencia del primer estado de alarma provocado por la pandemia del virus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del juicio de proporcionalidad estricta revela como muy escasa la incidencia que la prohibición de la reunión reivindicativa convocada tendría en el riesgo de contagio y, por ello, la poca relevancia que aportaría a la satisfacción del interés general representado por la salud pública, finalidad que justificaba la intervención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estimarse, en consecuencia, el motivo que denuncia esta lesión y otorgar el amparo solicitado, con nulidad de la resolución de 3 de marzo de 2021 del delegado del Gobierno en la Comunidad de Madrid y de la sentencia que desestimó el recurso interpuesto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hace innecesario el examen de otras eventuales lesiones de derechos fundamentales aducidas en la demanda y la eventual causa de inadmisión parcial alegada por la fiscal ante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Gloria Silvero Salguero,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resolución del delegado del Gobierno en la Comunidad de Madrid de fecha 3 de marzo de 2021, que prohibió la manifestación que la demandante había convocado para el día 8 de marzo de 2021 en Majadahonda, y la sentencia de 7 de marzo de 2021, dictada por la Sección Décima de la Sala de lo Contencioso-Administrativo del Tribunal Superior de Justicia de Madrid recaída en el procedimiento sobre derecho de reunión núm. 279-2021, que desestimó el recurso interpuesto contra la anterior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Ricardo Enríquez Sancho y la magistrada doña Concepción Espejel Jorquera a la sentencia dictada en el recurso de amparo núm. 2028-2021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concurrente por discrepar de una parte de la fundamentación de la sentencia recaída en el recurso de amparo núm. 2028-2021, que ha conducido a la estimación de la demanda por falta de proporcionalidad en sentido estricto de la medida de prohibición del ejercicio del derecho fundamental de reunión y manifestación (art. 21 CE) de la parte demandante, impugnada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idénticas a las expresadas en el voto particular que suscribimos, junto con el magistrado don Enrique Arnaldo Alcubilla, a la STC 164/2023, de 21 de noviembre, en la que se resolvió el recurso de amparo cabecera de esta misma serie, por lo que nos remitimos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 concurrente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Segoviano Astaburuaga respecto de la sentencia pronunciada en el recurso de amparo núm. 2028-2021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los magistrados y magistradas del Tribunal, debo reiterar, en coherencia con mi adhesión al voto particular formulado por la magistrada doña Laura Díez Bueso a la STC 164/2023, de 21 de noviembre, mi discrepancia, por las razones allí expuestas, con la estimación del recurso por vulneración del derecho fundamental de reunión y manifestación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