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1069-2023, promovido por doña I.C.L., representada por la procuradora de los tribunales doña Gema Fernández-Blanco San Miguel y asistida por la abogada doña Zoila Gulín Bejarano, contra el auto de fecha 30 de mayo de 2023 dictado por el Juzgado de Primera Instancia núm. 5 de Lugo, en los autos de jurisdicción voluntaria de intervención judicial sobre desacuerdo en el ejercicio de la patria potestad núm. 114-2022, y contra el auto de fecha 22 de diciembre de 2022 dictado por la Audiencia Provincial de Lugo en rollo de apelación núm. 739-2022, que confirmó íntegramente el auto de primer grado. Ha intervenido el Ministerio Fiscal y don J.M.L.C., representado por la procuradora doña Isabel Cendán Fernández-Peinado y asistido por el abogado don Jesús Antonio Amarelo Fernández.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20 de febrero de 2023, la procuradora de los tribunales doña Gema Fernández-Blanco San Miguel, en nombre y representación de doña I.C.L.,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J.M.L.C., solicitó la intervención judicial por desacuerdo de los progenitores en el ejercicio de la patria potestad al amparo del art. 86.1 de la Ley 15/2015, de 2 de julio, de la jurisdicción voluntaria y el art. 156 párrafo tercero del Código civil, ante la negativa de la madre, doña I.C.L., para la inoculación de la vacuna contra la covid-19 al hijo común de ambos litigantes, de siete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25 de febrero de 2022 se admitió la solicitud y se acordó citar a las partes para la celebración de la comparecencia el día 28 de abril de 2022. El juzgado no consideró precisa la exploración del niño al ser menor de doce años. El Ministerio Fiscal presentó escrito el 4 de marzo de 2022 en el sentido de no oponerse a la autorización judicial solicitada “en interés del menor y de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I.C.L., formuló oposición a la solicitud presentada y alegó, en esencia, la ausencia de evidencia médica-científica que justificara la inoculación de los medicamentos de terapia génica para la covid-19 en menores de edad, atendiendo a la gravedad de la enfermedad en menores, donde la tasa de mortalidad y de hospitalización es muy baja, y a los efectos adversos que puede llevar aparejada la vacuna, que pueden ser muy superiores a la ausencia de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celebrarse la comparecencia del día 28 de abril de 2022, con fecha 30 de mayo del mismo año el Juzgado de Primera Instancia núm. 5 de Lugo dictó auto por el que desestimó la oposición y atribuyó a don J.M.L.C., la facultad de decidir sobre la inoculación de la vacuna respecto del hijo menor de ambos. El juzgado realiza un juicio de ponderación de los riesgos y beneficios de la vacuna, atendiendo a la baja incidencia de la covid-19 en los menores de edad que refleja la prueba documental aportada, y los posibles y desconocidos efectos adversos que puede comportar la vacuna a largo plazo, por lo que no se advierte contraindicación para no administrar la vacuna, sin olvidar que la vacuna ha sido aprobada por la Agencia Europea del Medicamento y por la Agencia Española del Medicamento, lo que permite suponer que se ha elaborado con las máximas garantías de calidad, seguridad y eficacia. Tiene en cuenta el juzgado las recomendaciones del pediatra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Doña I.C.L., interpuso recurso de apelación y reiteró su posición en relación con los riesgos y beneficios de la vacuna y añadió que existían riesgos para los menores dada la trascendencia de la decisión para su salud y su vida por los efectos a medio y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J.M.L.C., presentó escrito por el que se opuso al recurso de apelación e interesó la desestimación. En idéntico sentido se pronunció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Audiencia Provincial de Lugo (Sección Primera) dictó auto el 22 de diciembre de 2022 por el que desestimó el recurso de apelación. En la resolución judicial se razona que el objeto de la controversia no es decidir sobre la vacunación, sino atribuir a uno de los progenitores la facultad de decidir. Se añade que los informes periciales obrantes ponen de manifiesto la inexistencia de riesgo para la integridad física del menor y que no se aprecia riesgo para la integridad física del niño, todo ello en conexión con el informe de la pediatra que recomienda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que consagra el art. 24.1 CE en relación con el art. 15 CE. Se aduce que aunque el juzgado y la audiencia provincial sostienen que no les corresponde valorar si procede o no vacunar al menor se pronuncian sobre ello. Este juicio, según afirma la demandante, lo han efectuado tomando en consideración únicamente los argumentos de una las partes, la que es favorable a la vacunación, sin valorar los argumentos contrarios aducidos por la ahora recurrente en amparo. Por ello entiende que los órganos judiciales, al no tomar en consideración sus argumentos, le han causado indefensión, han efectuado una indebida ponderación de la prueba —al no valorar debidamente los informes aportados por la otra parte— y no han motivado suficientemente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igualdad de trato de la madre (art. 14.1 CE). La recurrente afirma que al otorgar la capacidad de decidir sobre la vacuna al padre, quien no ostenta la guarda y custodia del menor y que no se ha ocupado nunca de forma activa del niño ni del seguimiento de su salud, en particular de sus revisiones pediátricas, se ha vulnerado el referido derecho fundamental. Se añade que el derecho a la igualdad exige de los poderes públicos un deber de abstención para no generar diferencias arbitrarias como la que se ha producido en este caso, donde la diferencia de trato ni está justificada ni es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la demanda se solicita que se declare vulnerado el derecho de la recurrente a la tutela judicial efectiva (art. 24.1 CE) y el derecho a la igualdad (art. 14 CE), ambos en relación con el derecho a la integridad física del menor (art. 15 CE); que se declare la nulidad de los autos de 30 de mayo de 2022 del Juzgado de Primera Instancia, núm. 5 de Lugo y del auto 193/2022, de 22 de diciembre de 2022, de la Sección Primera de la Audiencia Provincial de Lugo y que se retrotraigan las actuaciones al momento anterior a haberse dictado la primera de las referidas resoluciones para que se dice una resolución respetuosa con los derechos fundamentales vulnerados. Asimismo, al amparo del art. 56 LOTC, se solicita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8 de mayo de 2023,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porque el asunto suscitado trasciende del caso concreto al plantear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Audiencia Provincial de Lugo a fin de que, en plazo no superior a diez días, remitiera certificación o fotocopia adverada de las actuaciones correspondientes al recurso de apelación núm. 739-2022, e, igualmente, al Juzgado de Primera Instancia núm. 5 de Lugo a fin de que, en plazo que no excediera de diez días, remitiera certificación o fotocopia adverada de las actuaciones correspondientes al procedimiento de jurisdicción voluntaria núm. 114-2022,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8 de junio de 2023, se acordó tener por personado y parte en el procedimiento a la procuradora doña Isabel Cendán Fernández-Peinado en nombre y representación de don J.M.L.C., y, a tenor de lo dispuesto en el art. 52 LOTC, dar vista de las actuaciones, por un plazo común de veinte días, al Ministerio Fiscal y a las partes personadas, para que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7 de julio de 2023, don J.M.L.C., a través de su representación procesal presentó las alegaciones. Aduce, en primer lugar, que el recurso de amparo, de forma sobrevenida, ha perdido su objeto, ya que el menor ha sido ya vacunado y por ello solicita la terminación del proceso por pérdida sobrevenida de objeto. Subsidiariamente solicita la desestimación del recurso al considerar que no se ha producido la vulneración de los derechos fundamentales alegados. Esta parte procesal entiende que los órganos judiciales han realizado un análisis profuso de la documentación aportada y de los informes científicos sobre la materia, en especial de los estudios de la Asociación Española de Pediatría, de los que se colige que los riesgos de la vacuna son muy bajos en proporción a sus beneficios potenciales. Por último, se pone de relieve que la vacuna se recomienda por la Agencia Europea del Medicamento y por la Agencia Española del Medicamento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30 de agosto de 2023, la fiscal ante el Tribunal Constitucional formuló sus alegaciones. Sostiene, en primer lugar, que en relación con la queja por la que se aduce la vulneración del art. 14 CE concurre la causa de inadmisibilidad prevista en el art. 44.1 c) LOTC, ya que la vulneración de este derecho fundamental no fue alegada en la vía judicial. Según el Ministerio Fiscal, la demandante de amparo recurrió en apelación por error en la valoración de la prueba y centró la controversia en el análisis de los informes médicos y científicos, pero “en ningún momento se alegó la vulneración del derecho fundamental a la igualdad”. Subsidiariamente aduce que hay una ausencia manifiesta de fundamentación sobre la vulneración alegada, ya que la mera alegación sobre la guarda y custodia del hijo o que la madre se haya encargado de llevar al menor al pediatra, son insuficientes para pretender justificar una desigualdad de trato en relación con la decisión sobre la administración de la vacuna. Por este motivo, interesa, de forma subsidiaria, la desestimación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resto de vulneraciones, solicita la desestimación del recurso de amparo. Entiende que no cabe apreciar la vulneración del derecho a la tutela judicial del art. 24.1 CE por falta de motivación, dado que las resoluciones judiciales combatidas, que atribuyen al padre la facultad de decisión, han dado una respuesta fundada a la cuestión planteada y han motivado de forma suficiente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integridad física del menor (art. 15 CE), la fiscal alega que la demanda de amparo no argumenta específicamente sobre esta alegación, ya que se limita a conectar esta vulneración con la lesión del art. 24.1 CE. En todo caso, considera que esta vulneración no se ha podido producir porque la actuación sanitaria que afectaría a este derecho no se decide en los actos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30 de mayo de 2022 del Juzgado de Primera Instancia núm. 5 de Lugo en el procedimiento de jurisdicción voluntaria núm. 114-2022, que atribuyó a don J.M.L.C., la facultad de decidir sobre la administración de la vacuna frente a la covid-19 a su hijo menor de edad, y contra el auto de 22 de diciembre de 2022 dictado por la Sección Primera de la Audiencia Provincial de Lugo en el rollo de apelación núm. 739-2022,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se alega la vulneración del derecho a la tutela judicial efectiva (art. 24.1 CE) porque las resoluciones judiciales no se ajustan al derecho positivo al conculcar los principios sobre valoración de la prueba, motivación y derecho de defensa, y residenciar su decisión en la recomendación de las autoridades sanitarias sin valorar los informes científicos aportados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estas cuestiones están directamente vinculadas con la posible lesión del derecho fundamental a la integridad personal, reconocido en el art. 15 CE de modo que las distintas quejas planteadas bajo la cobertura del art. 24.1 y 2 CE, pueden recibir una respuesta conjunta en el fundamento jurídico siguiente, puesto que deben calificarse como instrumentales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derecho a la igualdad (art. 14 CE), el recurrente no invocó en su momento la lesión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sus fundamentos jurídicos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24.1 CE en relación con el art. 15 CE, dado que la motivación de las resoluciones judiciales tuvo como fundamento esencial la protección del interés superior del menor en relación con la protección de su salud, teniendo en cuenta la recomendación de las autoridades sanitarias, que se mostraban a favor de la vacunación de menores haciendo una ponderación de riesgos y beneficios de la vacuna, que el órgano judicial no estima desvirtuada por los informes obrantes en los autos.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I.C.L.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