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pieza de suspensión del recurso de amparo núm. 6218-2023, promovido por don Fikri Boutajer, en relación con el auto del Pleno de la Sala de lo Penal de la Audiencia Nacional en recurso de súplica 60-2023, de 21 de julio, interpuesto contra el auto 325/2023, de 27 de junio de la Sección Segunda de la Sala de lo Penal de la Audiencia Nacional (rollo de extradición núm. 19-2023), procedente del Juzgado Central de Instrucción núm. 2 (extradición 30-2023),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septiembre de 2023, la procuradora de los tribunales doña María del Prado Prieto Navarro, en nombre y representación de don Fikri Boutajer y bajo la dirección del letrado don Youssef Bouzrouti El Haddouchi, interpuso recurso de amparo contra el auto núm. 325/2023, de 27 de junio de la Sección Segunda de la Sala de lo Penal de la Audiencia Nacional, por el que se acuerda la extradición del demandante al Reino de Marruecos para ser enjuiciado por un delito de tráfico de drogas (rollo de sala núm. 19-2023, derivado del procedimiento de extradición núm. 30-2023 del Juzgado Central de Instrucción núm. 2); y contra el auto núm. 62/2023, de 21 de julio, del Pleno de la Sala, que lo ratificó al desestimar el recurso de súplica núm. 60-2023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de conformidad con el art. 56.2 de la Ley Orgánica del Tribunal Constitucional (LOTC), alegando que la entrega extradicional del recurrente al Reino de Marruecos haría perder su finalidad a la pretensión de amparo en caso de ser estimada, causándole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acordó la admisión a trámite de la demanda de amparo por providencia de 23 de octubre de 2023, y conforme a lo dispuesto en el art. 51 LOTC ordenó requerir atentamente a la Sección Segunda de la Sala de lo Penal de la Audiencia Nacional a fin de que, en plazo que no exceda de diez días, remitiera testimonio de las actuaciones correspondientes al recurso de súplica núm. 60/2023 y a la Sección Segunda de la Sala de lo Penal de la Audiencia Nacional a fin de que, en el mismo plazo, remitiera testimonio de las actuaciones correspondientes al procedimiento de extradición núm. 19-2023; debiendo previamente emplazarse, para que en el plazo de diez días pudieran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providencia de la misma fecha, se procedió a formar la presente pieza separada de suspensión, concediendo un plazo común de tres días al demandante y al Ministerio Fiscal para que alegasen lo que estimasen pertinente sobre dicha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por escrito registrado en este tribunal el 27 de octubre de 2023, ratificó su pretensión cautelar; reiteró que si no se suspende la ejecución de la extradición acordada se le causaría el lógico perjuicio y consiguiente pérdida de la finalidad del amparo, caso de otorgarse, puesto que “si el Tribunal Constitucional no accede a la suspensión cautelar de la ejecución de la resolución impugnada, implicaría que se procederá a la entrega forzosa del reclamado a las autoridades marroquís. En consecuencia, posteriormente, aun en el caso de estimarse el amparo, la sentencia carecería de eficacia por cuanto el reclamado ya estaría en Marruecos, y la ejecución del fallo devendría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Subraya, por lo demás, que el reclamado actualmente se encuentra privado de libertad cautelarmente por esta causa, y la concesión de la medida cautelar solicitada no afectaría directamente a su situación personal, por cuanto la Audiencia Nacional puede seguir adoptando cuantas medidas estime oportunas para garantizar su presencia en el territorio español, no afectando, por otra parte, medida cautelar a ningún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fecha 8 de noviembre de 2023, el fiscal alega en primer lugar que, si bien la doctrina de este tribunal tiene establecido que la suspensión de la ejecución es siempre una medida excepcional dado el interés constitucionalmente relevante en garantizar la efectividad de las resoluciones judiciales firmes, esta regla general debe ceder cuando la ejecución de lo resuelto cause un perjuicio irreparable que haga perder al recurso de amparo toda su efectividad. Añade que es doctrina consolidada del Tribunal Constitucional que, en los supuestos en que las resoluciones judiciales impugnadas acuerdan la entrega de los recurrentes a las autoridades de otros Estados en virtud de un procedimiento extradicional, el perjuicio irreparable de la ejecución de la autorización de la entrega se hace evidente, dado que, en el caso en que se estimase la lesión de derechos invocada en amparo, sería casi imposible la restitución del derecho fundamental que se trata de hacer valer y el recurso, que tiene como objeto impedir la entrega, perdería toda su virtualidad (por todos AATC 80/2004, de 11 de marzo;157/2005, de 18 de abril; 291/2006, de 24 de julio, y los más recientes AATC 218/2012, de 26 de noviembre, FJ 4; 91/2016, de 27 de abril, FJ 2; 100/2018, de 1 de octubre; 6/2019, de 4 de febrero, FJ 2, y más concretamente en un supuesto análogo al ahora examinado ATC 35/2022, de 7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que, a la vista de lo expuesto, se proceda a acceder a la solicitud de la medida cautelar de suspensión de la ejecución de los autos dictados por la Sección Segunda de la Sala de lo Penal de la Audiencia Nacional y por el Pleno de dicha Sala que son objeto de este proceso, apreciando la concurrencia de un perjuicio irreparable para el demandante en el supuesto que se ejecutase la decisión judicial de autorizar la entrega extradicional del recurrente al Reino de Marruecos. Termina señalando que dicha suspensión ha de quedar circunscrita a la autorización de la entrega, sin perjuicio de las medidas que aquel tribunal pueda adoptar para garantizar que el recurrente esté a disposición de la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que compete a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forma reiterada venimos considerando que, cuando el recurso de amparo se dirige contra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solo cuando se acredite suficientemente por el recurrente en amparo la irreparabilidad del perjuicio que pudiera traer consigo la ejecución de la resolución impugnada, privando al amparo de su finalidad, y siempre que la suspensión no ocasione perturbación grave a un interés constitucionalmente protegido, ni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ejecución de los autos impugnados implicaría acceder en fase jurisdiccional a la extradición del recurrente al Reino de Marruecos para ser enjuiciado por los delitos que se le imputan; por lo que, obviamente, de tal ejecución se derivarían para el recurrente perjuicios personales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recordado en el ATC 6/2019, de 4 de febrero, FJ 2, en los supuestos de extradición es práctica constitucional reiterada acordar la suspensión de la ejecución de las resoluciones judiciales impugnadas que la acuerdan pues, en estos casos, si la persona requerida fuera entregada a las autoridades del Estado requirente perdería su finalidad el recurso de amparo que, en definitiva, tiene por objeto impedir su extradición. Una vez que el recurrente se encontrara bajo la potestad de otro Estado sería muy difícil que un eventual pronunciamiento estimatorio de este tribunal pudiera surtir plenos efectos en ese Estado (por todos, AATC 291/1998, de 29 de diciembre, FJ 2; 2/2002, de 14 de enero, FJ 2; 80/2004, de 11 de marzo, FJ 2; 157/2005, de 18 de abril, FJ 2; 291/2006, de 24 de julio, FJ 2; 218/2012, de 26 de noviembre, FJ 2, y 35/2022, de 7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en esa misma doctrina se advierte que en estos casos no se aprecia que la suspensión pueda originar una perturbación grave de los intereses generales ni de los derechos fundamentales o libertades públicas de un tercero. En efecto,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(por todos, AATC 2/2002, de 14 de enero, FJ 2; 80/2004, de 11 de marzo, FJ 2; 202/2005, de 9 de mayo; 218/2012, de 26 de noviembre, FJ 2, y 35/2022, de 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todo lo expuesto, procede acordar la suspensión cautelar de las resoluciones impugnadas en amparo, que se circunscribe única y exclusivamente a la declaración judicial de procedencia de la extradición. La suspensión cautelar acordada lo es, en todo caso, sin perjuicio de las resoluciones judiciales que el tribunal competente de la extradición pueda adoptar para asegurar que el recurrente en amparo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núm. 325/2023, de 27 de junio, de la Sección Segunda de la Sala de lo Penal de la Audiencia Nacional, por el que se acuerda la extradición del demandante al Reino de Marruecos para ser enjuiciado por un delito de tráfico de drogas (rollo de sala núm. 19-2023, derivado del procedimiento de extradición núm. 30-2023 del Juzgado Central de Instrucción núm. 2); y contra el auto núm. 62/2023, de 21 de julio, del Pleno de la Sala, que lo ratificó en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