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387-2023, promovido por la entidad Quinber Dreams,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mayo de 2023, la procuradora de los tribunales doña Marta Oti Moreno, en nombre y representación de la entidad Quinber Dreams, S.L., y bajo la dirección del letrado don Miguel Ángel Cuesta Arroyo, formuló demanda de amparo contra la providencia de 28 de marzo de 2023, dictada por la Sala de lo Contencioso-Administrativo del Tribunal Supremo en recurso de casación núm. 4779-2022 contra la sentencia dictada por la Sala de lo Contencioso-Administrativo del Tribunal Superior de Justicia de Madrid en recurso de apelación núm. 31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38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