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6168-2021, promovido por don Noureddine El Moumni, representado por el procurador de los tribunales don Argimiro Vázquez Guillén, asistido de la letrada doña Greta Komini, contra el auto núm. 14/2021, de 22 de junio, de la Sección Primera de la Sala de lo Penal de la Audiencia Nacional y contra el auto núm. 50/2021, de 20 de julio, del Pleno de la Sala de lo Penal de la Audiencia Nacional.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septiembre de 2021, la representación procesal de don Noureddine El Moumni interpuso recurso de amparo contra el auto núm. 14/2021, de 22 de junio, de la Sección Primera de la Sala de lo Penal de la Audiencia Nacional, dictado en el rollo de sala 50-2020, dimanante del procedimiento de extradición pasiva núm. 35-2020 del Juzgado Central de Instrucción núm. 2, y contra el auto núm. 50/2021, de 20 de julio, del Pleno de la Sala de lo Penal de la Audiencia Nacional, dictado en el recurso de súplica núm. 49-2021, que confirmó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del rey ante el Juzgado de Primera Instancia de Casablanca (Marruecos) dictó el 20 de abril de 2017 orden internacional de búsqueda y captura contra el ahora demandante de amparo, al que atribuía su implicación en un delito de tráfico de drogas, así como su exportación a escala internacional, con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actas de la policía judicial (acta bajo el núm. 03/FJW de fecha 02/01/2013; acta 2 bajo el núm. 18/FJW de fecha 05/01/2013) elaboradas por la unidad de lucha contra el crimen de la Prefectura Policial de Casablanca, según las cuales resulta que en fecha del 29/12/2012 se procedió a la detención de los sospechosos Abdelkader Belaichi, Hicham Elhayad y Mohamed Chanouk en el Aeropuerto Internacional Mohamed V cuando iban a coger un vuelo con destino a París. De hecho, se pudo averiguar, tras la verificación oportuna, que los interesados estaban inscritos en la lista de viajeros de dicho vuelo junto con Rachid Kalani, Abdelilah Malwiya con excepción de Noureddine El Moumni, considerado como el eslabón de enlace entre los citados interesados y Youssef Kassed, primo paterno de Noureddine El Moumni, quien iba a recibirles en París. Tras haber sometido a dichos sospechosos a un examen con ecografía, se pudo comprobar que llevaban en sus entrañas cuerpos extraños, por lo que se procedió a su ingreso en la unidad hospitalaria bajo supervisión del médico de guardia hasta que pudieran evacuar y expulsar las cápsulas llenas de cannabis cuyo total alcanzó 429 cápsulas (Abdelkader Belaichi expulsó de su cuerpo 144 cápsulas con un peso de 1460 gramos; Hicham Elhayad, 148 cápsulas/1500 gramos; y Mohamed Anouk, 137 cápsulas/1390 gramos);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interrogatorio todos los detenidos confesaron que se dedicaban al tráfico internacional de estupefacientes de una forma organizada desde Marruecos a Europa y lograron realizar varias operaciones exitosas de narcotráfico, indicando que siempre les recibía la misma persona que receptaba la droga en París (Francia), es decir, el denominado Youssef acompañado por su pariente Noureddine El Moumni quien se encargaba de su comercialización allí una vez que la droga haya sido expulsada de sus vientres. Igualmente, revelaron que el interesado era quien les compraba los billetes de viaje de ida y vuelta (de Marruecos a Francia), mientras que el denominado Benaissa Bouasriya y su socio llamado Abdelhadi, eran quienes se encargaban de la entrega de las cápsulas repletas de cannabis que las mulas tragaban en Kenitra bien en un apartamento del barrio ‘Hay Sayad, Route al-Mehdiya’, bien en un chalé amueblado alquilado y sito en la playa de al-Mahdiya. En efecto, se realizaron varias pesquisas que permitieron la detención de los sospechosos Benaissa Bouasriya y Abdelilah Malwiya. Durante la operación de inspección practicada en el apartamento que alquilaba Benaissa Bouasriya se incautó material incriminatorio y probatorio entre el cual había una cápsula de cannabis bien envuelta y lista para la venta, amén de un justificante de remesa enviado por el denominado Youssef Kassed desde Francia al sospechoso Benaissa Bouasriya;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interrogatorio al que fue sometido Benaissa Bouasriya, este declaró que durante los últimos nueve meses previos a su detención, conoció al denominado Noureddine El Moumni, a su vez residente en Francia y la relación entre ambos sujetos se fue estrechando hasta el momento en que Noureddine El Moumni le pidió que le dejara su apartamento para acondicionar la droga en forma de cápsulas destinadas a algunos marroquíes residentes en España para que las tragaran y las transportaran como mulas humanas a Europa. El detenido Bouasriya manifestó que efectivamente cerraron el trato y junto con el denominando Noureddine El Moumni realizaron tres o cuatro operaciones de narcotráfico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interrogatorio al que fue sometido el sospechoso Youssef Kassed, detenido en Italia en virtud de una orden internacional de busca y captura, el interesado declaró que su pariente Noureddine El Moumni era quien supervisaba todas las operaciones de narcotráfico con destino a Francia y que se hacía pasar por ‘Youssef Kassed’ usurpando su identidad para engañar a las personas que venían transportando la droga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-Consultados los pertinentes archivos y registros de entrada y salida al territorio nacional, se pudo comprobar que Noureddine El Moumni viajaba constante y sospechosamente yendo y regresando a Marruecos con destino a Francia con la misma frecuencia que las personas detenidas; y desde el desmantelamiento de esta red criminal, el sospechoso nunca más regresó a Marruecos desde su última salida ocurrida el 22/01/2013”.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detenido el 19 de octubre de 2020 en Sant Esteve Sesrovires (Barcelona) y puesto a disposición del Juzgado Central de Instrucción núm. 2, que incoó el procedimiento de extradición pasiva núm. 35-2020, y acordó por auto de 20 de octubre de 2020, tras celebrar comparecencia del art. 505 de la Ley de enjuiciamiento criminal (LECrim), su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20 de noviembre de 2020 se recibió por vía diplomática la nota verbal de la Embajada de Marruecos núm. 1757, de 19 de noviembre de 2020, en la que se solicitaba del Ministerio de Justicia de España la extradición del ahora recurrente en amparo, para el enjuiciamiento por delitos de tenencia de estupefacientes, tráfico de drogas, su traslado y exportación a escala internacional, lo que se acompañaba de la orden internacional de detención emitida por el fiscal del rey, de un resumen de los hechos que reproducía los de la orden internacional de detención y una relación de los preceptos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en sesión de 15 de diciembre de 2020 acordó, de conformidad con el art. 9.3 de la Ley 4/1985, de 21 de marzo, de extradición pasiva (LEP), la continuación del procedimiento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reclamado fue oído en comparecencia del art. 12 LEP, celebrada el día 20 de octubre de 2020 en el Juzgado Central de Instrucción núm. 2, oponiéndose a su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Elevados los autos a la Sección Primera de la Sala de lo Penal de la Audiencia Nacional, esta inició el rollo de extradición núm. 50-2020 y dio vista de los mismos, en los términos del art. 13 LEP, al fiscal y a la defensa del reclamado, para que formularan alegaciones. El fiscal interesó que se accediera a la solicitud de extradición. La defensa se opuso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la vista extradicional, celebrada el 19 de abril de 2021, el Ministerio Fiscal reiteró su opinión en sentido favorable a la petición de extradición, a la que se opuso la defensa del demandante de amparo. La Sección Tercera de la Sala de lo Penal de la Audiencia Nacional dictó el auto núm. 14/2021, de 22 de junio, por el que acordó acceder a la solicitud de extradición del actor por concurrir los requisitos exigidos en el Convenio de extradición entre el Reino de España y el Reino de Marruecos, suscrito en Rabat el 24 de junio de 2009, y en la LEP, en particular los requisitos de doble incriminación y mínimo punitivo exigidos en el art. 2.1 del Convenio bilateral, porque los hechos por los que se solicitaba la extradición eran constitutivos de un delito de tráfico de drogas, equivalente en nuestro ordenamiento penal a uno contra la salud pública, de sustancias que no causan grave daño a la salud del subtipo agravado de notoria importancia de los arts. 368 y 369.5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decisión el actor interpuso recurso de súplica, en el que alegó que la extradición se basaba en una orden internacional de detención expedida por el fiscal del rey sin intervención alguna de autoridad judicial, por lo que no resultaba equiparable a una orden judicial de detención ni a una sentencia condenatoria. Invocaba en su apoyo la doctrina sentada en la STC 147/2020, de 19 de octubre, por estimarla aplicable al caso, y la vulneración del derecho a la tutela judicial efectiva y a un proceso con todas las garantías del art. 24 CE en conexión con el derecho a la libertad personal. También adujo, en lo que aquí interesa, (i) prescripción del delito por considerar que la orden de detención emitida por el fiscal del rey carecía de efecto interruptivo; (ii) riesgo de sufrir tratos inhumanos o degradantes, y (iii) vulneraciones sistemáticas de los derechos fundamentales en el país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la Sala de lo Penal de la Audiencia Nacional dictó el auto núm. 50/2021, de 20 de julio, por el que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expone las razones por las que considera que no es aplicable a este caso la STC 147/2020, de 19 de octubre, invocada en el recurso de súplica. Afirma que la orden de detención emitida por el fiscal del rey satisface los requisitos formales del art. 12.1 a) del tratado bilateral de extradición, y según la información complementaria a la que se refiere el auto de 4 de junio de 2021, en el ordenamiento jurídico de aquel país el fiscal del rey es uno de los componentes del poder judicial, tiene competencia para expedir órdenes internacionales de arresto, y estas órdenes una vez emitidas no necesitan de ninguna legalización judicial, pues se consideran órdenes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existe disparidad de hecho y de derecho entre los supuestos de Colombia (STC 147/2020) y el caso de Marruecos. En el caso de Colombia se había producido la anulación de la orden judicial de detención que había emitido un juzgado, y el Tribunal Constitucional no consideró que un escrito de calificación del fiscal, leído ante un órgano jurisdiccional, surtiera un efecto semejante a aquella inicial orden de detención. La Sala concluye que, conforme a la legislación interna de Marruecos, la fiscalía marroquí forma parte del poder judicial, puede solicitar la extradición y no está previsto que pueda ser revisada por un juez. La orden emitida por el fiscal del rey de Marruecos cumple las exigencias del art. 12 del tratado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el Pleno entiende que la Fiscalía del Reino de Marruecos es autoridad competente en el Derecho interno para emitir la orden internacional de detención y para solicitar formalmente la extradición, dándose a la misma eficacia de cara a constituir título válido, conforme al tratado, para otorgar la extradición, y ello sin necesidad de que la misma venga a ser ratificada por el juez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prescripción de los hechos según el Derecho español, la Sala considera que el plazo de prescripción de cinco años, según nuestro Derecho, ha sido interrumpido por la orden de detención internacional firmada por el fiscal del rey de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finalmente, también rechaza la queja referida al riesgo de sufrir tratos inhumanos o degradantes y sobre la existencia de vulneraciones sistemáticas de los derechos fundamentales en el país reclamante. Considera que se trata de una alegación genérica, cuando es precisa una argumentación que haga referencia a la específica situación de peligro para los derechos fundamentales del recurrente. Este alude al estado de las prisiones en general, lo que no se justifica con datos objetivos y concretos que permitan deducir riesgos graves para su integridad o vida, y tampoco acredita que la entrega pudiera conllevar el padecimiento de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va acompañado de un voto particular de cuatro magistrados que consideran que la mayoría no ha aplicado correctamente la doctrina sentada en la STC 147/2020, en la que es esencial que se cumpla la garantía jurisdiccional de la libertad en el propio país solicitante de la extradición, mediante la homologación por un órgano judicial de la orden de detención, y que la orden de detención del fiscal marroquí no interrumpe la prescripción en un sistema procesal fuertemente influenciado por el francés, lo que lo convierte en netamente judicial. Y en cuanto a los supuestos trabajos forzados a que sería sometido, la legislación marroquí se refiere al trabajo obligatorio relacionado con el régimen interno administrativo de la prisión, que se puede desarrollar tanto en el interior como en el exterior del centro penitenciario, lo que nada tiene que ver con el trabajo forzado.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que se ha vulnerado su derecho a la tutela judicial efectiva sin indefensión (art. 24.1 CE) su derecho a un proceso con todas las garantías (art. 24.2 CE) y su derecho a la libertad personal (art. 17.3 CE) porque la orden de búsqueda y captura de 20 de abril de 2017 emitida por el fiscal del rey de Marruecos careció de control judicial en origen. No se ha producido la necesaria concurrencia de una autoridad judicial, exigida en las SSTC 147/2020 y 147/2021, para garantizar la proporcionalidad de la solicitud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recurrente considera vulnerado el derecho a la tutela judicial efectiva (art. 24.1 CE) por razonamiento arbitrario e irracional en conexión con los derechos a la libertad personal (art. 17.3 CE) y a la legalidad penal (art. 25.1 CE), porque se ha rechazado la aplicación de prescripción en base a interpretaciones analógicas del tipo penal, pues los hechos por los que se reclama al recurrente ocurrieron el 29 de diciembre de 2012, y desde dicha fecha las únicas actuaciones practicadas en Marruecos han sido la orden internacional de detención y la presente solicitud de extradición, cursada el 20 de noviembre de 2021, más de nueve años después de los hechos. En el momento de solicitar la extradición el delito habría prescrito en España, puesto que la emisión de una orden de detención por el fiscal no es una resolución judicial y no tendría efectos interruptivos de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recurrente entiende que se han vulnerado los derechos a un proceso con todas las garantías (art. 24.2 CE), a la integridad física y moral, y a no ser sometido a torturas ni tratos inhumanos o degradantes (art. 15 CE). El recurrente aportó material probatorio suficiente sobre la situación deficitaria de los derechos humanos en Marruecos (informes de Amnistía Internacional, de la Comisión Española de Ayuda al Refugiado, notas de medios de comunicación); alegó que conforme al Código penal de Marruecos todo condenado a pena privativa de libertad debe realizar trabajos forzados; alegó que existían dificultades de acceso a un abogado y que no se investigan las denuncias de torturas o malos tratos, por lo que las resoluciones judiciales impugnadas generan el riesgo de que sobre el recurrente se materialicen tales vulneraciones de derechos humanos. Este riesgo también se produce por las deficitarias condiciones de las prisiones del país reclamante y la obligación de realizar trabajos forzados, lo que atenta contra la prohibición de la esclavitud y del trabajo forzado que se contiene en el art. 4.2 del Convenio europeo de derechos humanos (CEDH). También se constata en informes internacionales el riesgo de sufrir internamiento en aislamiento durante periodos largos de tiempo y restricción de visitas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del Tribunal Constitucional, por providencia de 25 de octubre de 2021, acordó admitir a trámite el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acordó, en aplicación de lo dispuesto en el art. 51 LOTC, dirigir atenta comunicación al Pleno de la Sala de lo Penal de la Audiencia Nacional a fin de que, en plazo que no exceda de diez días, remitiera certificación o fotocopia adverada de las actuaciones correspondientes al recurso de súplica núm. 49-2021. E igualmente a la Sala de lo Penal, Sección Primera, de la Audiencia Nacional para que, en el mismo plazo, remitiera certificación o fotocopia adverada de las actuaciones correspondientes al rollo de extradición núm. 50-2020, dimanante del procedimiento de extradición pasiva núm. 35-2020 del Juzgado Central de Instrucción núm. 2, debiendo previamente emplazarse, para que en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solicitado por el procurador recurrente la suspensión de las resoluciones impugnadas, en la citada providencia se acordó, por apreciarse la urgencia excepcional a que se refiere el art. 56.6 LOTC, toda vez que dicha ejecución produciría un perjuicio de imposible o muy difícil reparación que haría perder su finalidad al recurso de amparo, la suspensión cautelar de los autos núm. 14/2021, de 22 de junio, y 50/2021, de 20 de julio, dictados por la Sección Primera de la Sala de lo Penal y por el Pleno de la Sala de lo Penal, respectivamente,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de la Sección Primera de la Sala de lo Penal, así como del Pleno de la Sala de lo Penal de la Audiencia Nacional, el 24 de noviembre de 2021 la Secretaría de Justicia de la Sala Primera de este tribunal dictó diligencia de ordenación en la que acordaba dar vista de las mismas por un plazo común de veinte días a la parte recurrente y al Ministerio Fiscal,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30 de diciembre de 2021, la representación procesal del actor formuló alegaciones en las que se ratificó íntegramente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18 de enero de 2022, el fiscal ante el Tribunal Constitucional presentó alegaciones en las que solicitó la estimación del recurso de amparo, que se declarase que las resoluciones judiciales impugnadas en el mismo vulneraron el derecho fundamental del recurrente a la tutela judicial efectiva del art. 24.1 CE, en conexión con el derecho a la libertad del art. 17 CE con infracción de la doctrina del Tribunal Constitucional que prevé la inexcusable concurrencia de una autoridad judicial que controle la necesidad y proporcionalidad de la solicitud de extradición, y que en consecuencia se declarase su nulidad. En cuanto al resto de los motivos del recurso de amparo, considera el fiscal que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vicisitudes del procedimiento antecedente, el fiscal encuadra la primera cuestión suscitada en el recurso de amparo en la falta de habilitación legal de la solicitud de extradición formulada por el Reino de Marruecos, en tanto se funda en una orden internacional de detención dictada por el fiscal del rey ante el Juzgado de Primera Instancia de Casablanca, sin que exista una resolución judicial que la corrobore, apartándose las resoluciones judiciales impugnadas de la doctrina establecida por el Tribunal Constitucional en las SSTC 147/2020, de 19 de octubre, y 147/2021, de 12 de julio, doctrina que sintetiza y de la que destaca, mediante extensa cita literal de los fundamentos jurídicos 7 y 8 de la primera de ellas, el valor hermenéutico e integrador que el Tribunal Constitucional atribuye ex art. 10.2 CE a los pronunciamientos del Tribunal de Justicia de la Unión Europea relativos a la orden europea de detención y entrega (Decisión Marco 2002/584/JAI) para incorporar a la tutela judicial efectiva del derecho a la libertad y a la libertad de circulación, en los procedimientos de extradición pasiva, la exigencia de que en el país reclamante exista un control judicial de la ponderación de la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considera que las condiciones en las que se expide la solicitud de extradición por el fiscal del rey de Marruecos no reúnen las características establecidas por la doctrina constitucional citada, en cuanto se establece la posibilidad de que la autoridad emisora —el fiscal del rey— esté sujeto a instrucciones de la autoridad jerárquica superior, no se prevé la inexcusable concurrencia de una autoridad judicial que controle la necesidad y proporcionalidad de la medida y no se contempla la posibilidad de un recurso judicial antes de la entrega de la persona buscada por el Estado que debe efectuar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analiza la segunda cuestión suscitada por el recurso de amparo, referida a la eventual prescripción del delito derivada de la ausencia de efecto interruptivo de la orden de búsqueda internacional expedida por el fiscal del rey de Marruecos. Considera que procede desestimar la queja por cuanto la cuestión debe centrarse en la existencia o no de un acto de dirección del procedimiento. Así, la resolución del fiscal marroquí supone un relato del avance de la investigación y de los elementos de identificación del reclamado y una determinación de su participación en los hechos. La orden de detención internacional estaba preordenada a una eventual extradición, lo que excede de una simple requisitoria. En definitiva, concurre un acto de dirección del procedimiento con virtualidad interruptiva.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se refiere a la tercera queja formulada, la que tiene que ver con el sometimiento a trabajos forzados o a tratos inhumanos y degradantes. Argumenta que procede desestimar la queja, en primer lugar, por la insuficiente acreditación de una concreta vinculación del posible trato degradante con el recurrente y, en segundo lugar, porque la petición de extradición se solicita para la investigación y enjuiciamiento, por lo que se trata de una cuestión futura sobre la hipotética aplicación de una medida de ejecución penitenciaria que se asocia a una pena privativa de libertad aún no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 la Sala Primera de este tribunal de 19 de enero de 2022 se hace constar que queda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virtud de los arts. 2.1 y 2 y 3.1 del acuerdo del Pleno del Tribunal Constitucional de 17 de enero de 2023, publicado en el “Boletín Oficial del Estado” de 19 de enero de 2023, el recurso es reasignado a la Sala Segunda de este tribunal al conservar la magistrada la ponencia que inicialmente le había sido repartida, lo que fue puesto en conocimiento de las partes mediante diligencia de ordenación de 20 enero de 2023 del secretario de justicia de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31 de enero de 2024, el magistrado don Ramón Sáez Valcárcel manifestó su voluntad de abstenerse del conocimiento del presente recurso de amparo al concurrir en su persona la causa establecida en el art. 219.11 de la Ley Orgánica del Poder Judicial, por haber tenido conocimiento procesal de los hechos y de las actuaciones seguidas en tanto que integrante de la Sala que resolvió el recurso de súplica formulado por el recurrente. La Sala Segunda de este tribunal, mediante el ATC 12/2024, de 12 de febrero, estimó justificada su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7 de marzo de 2024, se señaló para deliberación y votación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núm. 14/2021, de 22 de junio, dictado por la Sección Primera de la Sala de lo Penal de la Audiencia Nacional, que acordó haber lugar en fase judicial a la extradición del demandante a Marruecos al objeto de ser enjuiciado por hechos constitutivos de delito de tráfico de drogas, y del auto núm. 50/2021, de 20 de julio, dictado por el Pleno de la Sala de lo Penal de la Audiencia Nacional, que confirmó en súplica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que las resoluciones judiciales impugnadas han vulnerado sus derechos a la tutela judicial efectiva (art. 24.1 CE), a un proceso con todas las garantías (art. 24.2 CE) y a la libertad personal (art. 17.3 CE), porque la orden de búsqueda y captura de 20 de abril de 2017 emitida por el fiscal del rey de Marruecos careció del control judicial en origen exigido en las SSTC 147/2020 y 147/2021 para garantizar su necesidad y proporcionalidad; también aduce la vulneración de su derecho a la tutela judicial efectiva (art. 24.1 CE) en relación con los derechos a la libertad personal (art. 17.3 CE) y a la legalidad penal (art. 25.1 CE), porque se ha rechazado la aplicación de prescripción en base a interpretaciones analógicas del tipo penal; así como la vulneración de los derechos a un proceso con todas las garantías (art. 24.2 CE), a la integridad física y moral y a no ser sometido a torturas ni tratos inhumanos o degradantes (art. 15 CE) por el riesgo de ser sometido a estas prácticas y a trabajos forzados si es entregado al país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apoya el motivo primero de la demanda de amparo e interesa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del Tribunal Constitucional, por providencia de 25 de octubre de 2021, admitió a trámite el presente recurso de amparo apreciando la concurrencia de especial trascendencia constitucional (art. 50.1 LOTC) como consecuencia de que el órgano judicial pudiera haber incurrido en una negativa manifiesta del deber de acatamiento de la doctrina de este tribunal [STC 155/2009, de 25 de junio, FJ 2 f)]. No se puede obviar, sin embargo, que este tribunal ha admitido otros recursos de amparo en los que, frente al mismo problema, ha reconocido como motivo de especial trascendencia constitucional el enunciado en la letra b) de la STC 155/2009, FJ 2, porque el recurso puede dar ocasión al Tribunal para aclarar o cambiar su doctrina como consecuencia de un proceso de reflexión interna, lo que ha sucedido, entre otros, en el recurso de amparo 7490-2021, al que alude el fiscal ante el Tribunal Constitucional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9/2015, de 2 de febrero, FJ 3, hemos establecido que “constituye una exigencia de certeza que este tribunal explicite el cumplimiento de este requisito, haciendo así recognoscibles los criterios de aplicación empleados al respecto por este tribunal [sentencia del Tribunal Europeo de Derechos Humanos (STEDH) de 20 de enero de 2015, asunto Arribas Antón c. España]”, lo que también aconseja evitar la dispersión de criterios en asuntos que presentan una acusada identidad de objeto. A raíz de las SSTC 147/2020 y 147/2021, ha habido una reiteración de asuntos de extradición pasiva, procedentes del mismo país, que inciden en la misma cuestión, la referida a las solicitudes de extradición remitidas por un fiscal sin refrendo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problema ha sido abordado en la reciente STC 17/2024, de 31 de enero, en la que se afirmó que también concurría la causa de especial trascendencia constitucional encuadrada en el supuesto de la letra b)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115/2002, de 20 de mayo, FJ 3; 65/2003, de 7 de abril, FJ 2, y 198/2003, de 10 de noviembre, FJ 3, o, más recientemente, en las SSTC 37/2018, de 23 de abril, FJ 2, y 78/2019, de 3 de junio, FJ 2, declaramos que corresponde a este tribunal, en función de las circunstancias concurrentes en cada supuesto concreto sometido a su consideración, determinar no solo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examen, la queja nuclear de la demanda de amparo es la relativa a la falta de control judicial de la solicitud extradicional en el país requirente. Esta queja es la que dota al presente recurso de especial trascendencia constitucional, al proporcionar a este tribunal la oportunidad de aclarar, matizar o cambiar la doctrina establecida en las SSTC 147/2020 y 147/2021. Por consiguiente, la lógica impone comenzar nuestro estudio por esta queja, dada su mayor incidencia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tutela judicial de la libertad en los procedimientos de extradición pasiva. Doctrina fijada por la STC 17/2024,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17/2024, de 31 de enero, se ha aclarado la doctrina fijada por este tribunal en las SSTC 147/2020 y 147/2021 sobre tutela judicial del derecho a la libertad en los procedimientos de extradición pasiva, en el sentido de distinguir dos garantías diversas. En primer término, una garantía básica consistente en que el órgano judicial verifique, al examinar la petición de extradición, la imparcialidad de la autoridad que la ha emitido, garantía inherente al deber de motivación reforzada de una decisión que ha de afectar necesariamente a la esfera de la libertad personal del reclamado. En segundo término, una garantía específica consistente en que la solicitud venga refrendada por una autoridad judicial desde el mismo país de origen, fundada en el art. 7.1 a) LEP, que es de directa aplicación en caso de ausencia de convenio extradicional con el Estado reclamante (STC 147/2021,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garantía específica puede verse modulada en función de lo previsto en el convenio de extradición vigente entre las partes, en tanto que fuente normativa de aplicación preferente en los términos del art. 1.1 LEP. De este modo, aun cuando sea una exigencia inherente a la tutela judicial efectiva del derecho a la libertad personal del extraditurus que nuestros tribunales verifiquen que la necesidad y proporcionalidad de la medida ha sido debidamente ponderada por un órgano judicial del país emisor, dicha intermediación judicial puede dispensarse excepcionalmente cuando concurran las siguientes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trate de un procedimiento de extradición regido por un convenio bilateral o multilateral que admita la posibilidad de que la petición de entrega pueda emanar de una autoridad distinta a la autoridad judicial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país requirente suministre información suficientemente expresiva de que se trata de una autoridad que, conforme a su legislación interna, está facultada para emitir una solicitud de extradición en condiciones equivalentes a las de una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contenido de la solicitud y de la documentación anexa proporcione a los órganos judiciales españoles la información necesaria para verificar que la misma resulta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fue detenido en Sant Esteve Sesrovires (Barcelona) el 19 de octubre de 2020 y puesto a disposición del Juzgado Central de Instrucción núm. 2, que incoó el procedimiento de extradición pasiva núm. 35-2020, en virtud de una orden internacional de detención que dictó el fiscal del rey ante el Juzgado de Primera Instancia de Casablanca, que le atribuía la comisión de un delito de tráfico de drogas con exportación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Acordada por el Consejo de Ministros la continuación del procedimiento en vía judicial, y cumplimentados los trámites del procedimiento judicial, la Sección Primera de la Sala de lo Penal de la Audiencia Nacional dictó el auto núm. 14/2021, de 22 de junio, por el que autorizó la entrega del demandante, por considerar que concurrían los requisitos establecidos en el Convenio de extradición entre el Reino de España y el Reino de Marruecos, suscrito en Rabat el 24 de junio de 2009, y los de la Ley 4/1985, de 21 de marzo, de extradición pasiva, en particular los requisitos de doble incriminación y mínimo punitivo exigidos en el art. 2.1 del Convenio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súplica fue desestimado en el auto núm. 50/2021, de 20 de julio, del Pleno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don Noureddine El Moumni, combate estas resoluciones judiciales con el argumento de que, careciendo la orden de arresto emitida por el fiscal del rey de Marruecos de control judicial en dicho país, en el que, por otra parte, la orden de detención podría haber sido emitida también por un juez de instrucción, las resoluciones judiciales impugnadas que autorizaron la extradición en estas condiciones incumplieron la doctrina sentada en las SSTC 147/2020 y 147/2021, que interpreta en el sentido de que la falta de refrendo judicial equivale a una falta de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que hemos expuesto en el anterior fundamento jurídico de esta sentencia, el planteamiento impugnatorio del demandante no puede ser asumido, pues el art. 12 a) del Convenio bilateral de extradición no exige el dictado de una resolución judicial como punto de partida de la solicitud de entrega, por lo que la documentación remitida en apoyo de la solicitud de extradición no queda fuera de la cobertura legal conformada por las fuentes aplicables. Por otra parte, la información complementaria remitida por el Estado requirente es suficientemente expresiva de la integración de la fiscalía en el órgano judicial, de sus condiciones de imparcialidad y del valor equivalente que la legislación del país otorga a las órdenes internacionales de arresto emitidas por el fiscal respecto de las emitidas por un juez de instrucción en el ámbito de su competencia, lo que excluye la necesidad de su validación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misión de los tribunales españoles se ha de limitar a depurar aquellas solicitudes de extradición que presenten indicios de falta de proporcionalidad o de fundamento, mediante el examen en concreto de las alegaciones y documentos aportados por la persona reclamada, y de las razones y documentos aportados por las autoridades requirentes junto con la petición de extradición o de aquellos otros que el tribunal español pueda solicitar como complemento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documentación remitida por las autoridades marroquíes por vía diplomática, que incluye la orden internacional de detención y la solicitud de extradición expedidas por el fiscal del rey, contiene una exposición circunstanciada tanto de los hechos imputados al demandante de amparo como de su calificación jurídica y de las diligencias de investigación practicadas bajo la dirección de la fiscalía marroquí, en cuyo resultado se funda dicha imputación, en términos que no permiten poner en duda la necesidad y proporcionalidad de su decisión de solicitar su entrega para asegurar su enjuiciamiento. Procede por ello declarar que las resoluciones judiciales impugnadas, al dar curso en vía jurisdiccional a dicha solicitud, no han vulnerado los derechos fundamentales sustantivos y procesales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Queja relativa a la vulneración del derecho a la tutela judicial efectiva en relación con el principio de legalidad por concurrir la prescripción del delito según el Derecho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recurrente que los hechos por los que se le reclama ocurrieron el 29 de diciembre de 2012, y desde dicha fecha las únicas actuaciones practicadas en Marruecos han sido la orden internacional de detención y la solicitud de extradición, cursada el 20 de noviembre de 2021, más de nueve años después de los hechos. En el momento de solicitar la extradición el delito habría prescrito en España, puesto que la orden de detención emitida por el fiscal el 20 de abril de 2017 no es una resolución judicial y no tendría efectos interruptivos de la prescripción. Únicamente las resoluciones judiciales tienen en nuestro ordenamiento virtualidad para interrumpir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consideran que los hechos son constitutivos, según el Derecho español, de un delito de tráfico de drogas que no causa grave daño a la salud en el que concurre el subtipo agravado de notoria importancia, con un plazo de prescripción de cinco años, por lo que los hechos no están prescritos desde el punto de vista de nuestro Derecho porque la prescripción se interrumpió con la orden de detención internacional de 20 de abril de 2017, que cumplía todos los elementos para ser considerada un acto de prosecución del procedimiento, por contener un relato del avance de la investigación y de los elementos de identificación del reclamado y de determinación de su participación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es doctrina reiterada de este tribunal que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lo que no significa que cualquiera que sea la decisión que se adopte en materia de prescripción resulte irrevisable a través del recurso de amparo. Por lo que se refiere a la determinación del canon aplicable para proceder en cada caso a la revisión de una decisión judicial apreciando o denegando la existencia de prescripción, hemos declarado que “es el propio del art. 24 CE, en cuanto exige para entender otorgada la tutela judicial efectiva que la pretensión sea resuelta mediante una resolución que sea razonada, es decir, basada en una argumentación no arbitraria, ni manifiestamente irrazonable, ni incursa en error patente” (SSTC 214/1999, de 29 de noviembre, FJ 4, y 63/2005,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los órganos judiciales no es irrazonable, y se encuadra en un problema de legalidad ordinaria. A efectos de la extradición, lo relevante es la existencia de un acto material interruptivo de la prescripción en el país requirente. Este acto se ha producido conforme a las previsiones del Derecho marroquí. El hecho de que formalmente en nuestro modelo procesal ese acto deba realizarlo un juez no es suficiente para rechazar otros modelos en los que se prevea que ese acto sea realizado por autoridades diversas, con la consecuencia, en caso contrario, de considerar prescritos los hechos en España después de haberse realizado un trasvase en bloque de nuestro sistema procesal a otro no absolutamente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Queja referida al riesgo de sufrir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tercera queja, el recurrente entiende que se han vulnerado los derechos a un proceso con todas las garantías (art. 24.2 CE), a la integridad física y moral y a no ser sometido a torturas ni tratos inhumanos o degradantes (art. 15 CE). En el desarrollo de esta queja señala que aportó material probatorio suficiente sobre la situación deficitaria de los derechos humanos en Marruecos (informes de Amnistía Internacional y de la Comisión Española de Ayuda al Refugiado, notas de medios de comunicación). Añade que alegó que conforme al Código penal de Marruecos todo condenado a pena privativa de libertad debe realizar trabajos forzados; y que expuso que existían dificultades de acceso a un abogado y que no se investigan las denuncias de torturas o malos tratos, por lo que las resoluciones judiciales impugnadas generan el riesgo de que sobre el recurrente se materialicen tales vulneraciones de derechos humanos. Este riesgo también se produce por las deficitarias condiciones de las prisiones del país reclamante y la obligación de realizar trabajos forzados, lo que atenta contra la prohibición de la esclavitud y del trabajo forzado que se contiene en el art. 4.2 CEDH. También se constata en informes internacionales el riesgo de sufrir internamiento en aislamiento durante periodos largos de tiempo y restricción de visitas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se recuerda en la STC 199/2009, de 28 de septiembre, FJ 2, para que el órgano judicial español competente pueda denegar la entrega del reclamado en virtud del procedimiento extradicional o de una orden europea de detención y entrega con fundamento en la existencia de un riesgo relevante de vulneración de los derechos del reclamado a la vida o la integridad física y moral (art. 15 CE) en caso de accederse a la entrega, es preciso que el reclamado haya aportado determinados y concretos elementos que sirvan de apoyo razonable a su argumentación. Esto implica que el temor o riesgo aducidos han de ser fundados, en el sentido de mínimamente acreditados por el propio reclamado, a través de concretas alegaciones en relación a su persona y derechos, y sin que sea suficiente la formulación de alusiones o alegaciones genéricas sobre la situación del país (entre otras, STC 91/2000, de 30 de marzo, FJ 8; 32/2003, de 13 de febrero, FJ 7; 148/2004, de 13 de septiembre, FJ 8, y 140/2007, de 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han puesto de manifiesto los órganos jurisdiccionales, el recurrente hace alusiones genéricas a la situación de las prisiones del país reclamante, a su sistema judicial y policial, a denuncias de vulneraciones constantes de derechos fundamentales en su sistema penal, pero no efectúa alegaciones concretas en relación con su persona y derechos que entrañen una específica situación de peligro para sus derechos. Por otra parte, que la legislación del Estado que promueve la extradición prevea el trabajo penitenciario obligatorio, sea en el interior o en el exterior de los centros penitenciarios, no equivale a trabajos forzados. Que el trabajo sea obligatorio no implica que “vaya más allá de lo que es ‘ordinario’ en este contexto, en cuanto que está pensado para ayudarle a reintegrarse en la sociedad y tiene como base legal previsiones que hallan un equivalente en otros Estados miembros del Consejo de Europa” (STEDH 24 de junio de 1982, asunto Van Droogenbroeck c. Bélgica, §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 desestima.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