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 de diciembre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6078-2023, promovido por doña Laura Yoldi Sada, representada por la procuradora de los tribunales doña Alicia Suau Casado y asistida por la letrada doña Aida Casanova Pérez, contra la resolución de 2 de septiembre de 2021 del Instituto Nacional de la Seguridad Social (INSS) que desestimó la petición de revisión y ampliación de la prestación por nacimiento y cuidado de hijo menor, como madre biológica de familia monoparental; la sentencia 169/2022, de 6 de abril, del Juzgado de lo Social núm. 2 de Pamplona (autos núm. 886-2021); la sentencia 271/2022, de 21 de julio, de la Sala de lo Social del Tribunal Superior de Justicia de Navarra (recurso de suplicación núm. 263-2022); y el auto de 12 de julio de 2023, de la Sala de lo Social del Tribunal Supremo (recurso de casación para la unificación de doctrina núm. 4255-2022) que inadmitió a trámite el recurso presentado. Han intervenido la letrada de la administración de la Seguridad Social, en nombre del INSS y la Tesorería General de la Seguridad Social (TGSS), y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septiembre de 2023, la representante procesal de doña Laura Yoldi Sada, bajo la dirección letrada de doña Aida Casanova Pérez, interpuso recurso de amparo contra la decisión administrativa y resoluciones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Yoldi Sala es madre biológica de una niña, nacida en marzo de 2021, con quien forma una familia monoparental. El 17 de mayo de 2021 solicitó ante el INSS y obtuvo la prestación por hospitalización, nacimiento y cuidado de la menor durante diecisiete semanas [art. 177 del texto refundido de la Ley general de la Seguridad Social aprobado por el Real Decreto Legislativo 8/2015, de 30 de octubre (en adelante LGSS)]. El 2 de julio siguiente solicitó la revisión de la prestación ya obtenida, reclamando su ampliación por dieciséis semanas más, es decir, añadiendo al período ya reconocido uno idéntico al que hubiera correspondido al segundo progenitor en el supuesto de una familia biparental. La solicitud de revisión y ampliación de la prestación fue denegada por el INSS mediante resolución de 2 de septiembre de 2021, frente a la cual la demandante de amparo formuló reclamación administrativa previa, que ha de entenderse denegada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Sintiéndose discriminada por la respuesta recibida, el 11 de octubre de 2021 la demandante cuestionó las decisiones administrativas ante el Juzgado de lo Social núm. 2 de Pamplona (autos núm. 866-2021) que, mediante sentencia de 6 de abril de 2022, desestimó la demanda. La sentencia consideró que ni el texto refundido de la Ley del estatuto de los trabajadores, aprobado por Real Decreto Legislativo 2/2015, de 23 de octubre (en lo sucesivo, LET), ni la Ley general de la Seguridad Social prevén o justifican la ampliación de la prestación que había sido solicitada (art. 177 LGSS), en tanto la misma viene asociada a la suspensión temporal del contrato de trabajo (art. 48.4 LET) que, en todo caso, constituye un derecho personal e intransferible. Apreció que las normas alegadas no establecen diferencia de trato, o regulación menos favorable en función del sexo, ni tampoco una particular desventaja, dado que la regulación del permiso para cuidado del menor reconocido al progenitor no biológico se regula en igualdad de términos y condiciones con independencia de que este sea hombre y mujer. De igual modo, el progenitor distinto de la madre biológica tan solo tendrá derecho al permiso cuestionado cuando se cumplan los requisitos normativamente establecidos de alta o situación asimilada al alta y periodo mínimo de cotización, y no siempre y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señora Yoldi Sala interpuso recurso de suplicación ante la Sala de lo Social del Tribunal Superior de Justicia de Navarra. Alegó en él que la interpretación administrativa y judicial de los preceptos legales aplicables era contraria a los arts. 10, 14 y 39.2 de la Constitución, diversas directivas de la Unión Europea y la Carta de los derechos fundamentales de la Unión Europea, la Ley 3/2005, de 18 de febrero, de atención y  protección de la infancia y la adolescencia, así como a diversos tratados y acuerdos internacionales que citaba.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en sentencia 271/2022, de 21 de julio. Al justificar su decisión la sala señaló que, atendida su naturaleza de prestación profesional y de nivel contributivo, pese a que viene legalmente reconocida en favor del progenitor distinto de la madre biológica, la prestación cuya acumulación se pretendía se dirige a cumplir los deberes de cuidado de los nacidos establecidos en el art. 68 del Código civil (CC), fomentar la corresponsabilidad y reforzar los vínculos entre padre e hijo, por lo que constituye un derecho individual y exclusivo del progenitor que no se puede transferir a aquella. No obstante, la sala apreciaba la necesidad de una regulación legal específica sobre esta materia, dado que el trato diferenciado pretendido, en tanto supone que el progenitor de la familia monoparental tuviera acceso a una prestación superior y distinta a la que se reconoce a cada uno de los que conforman la familia biparental, “reclama una regulación que así lo establezca de manera explícita, lo que no se desprende de la en vigor al tiempo de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interpuso recurso de casación para la unificación de doctrina frente a la mencionada sentencia de suplicación que, en esencia, vino fundado en los mismos argumentos que el recurso previo, aun añadiendo que la única sentencia del Tribunal Supremo que hay sobre esta cuestión fue consecuencia de un recurso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casación para la unificación de doctrina fue inadmitido mediante auto de 12 de julio de 2023 en el que se argumenta que la cuestión planteada carece de contenido casacional por cuanto la respuesta recibida y cuestionada se adecuaba a la anterior STS 169/2023, de 2 de marzo (ECLI:ES:TS:2023:783), que reconocía la inexistencia de previsión legal que apoyara la pretensión de la madre recurrente, por lo que no era dado a los órganos judiciales sustituir al legislador en la adopción de soluciones como las que fundamentaban su reclamación inicial y la cadena de recursos formulados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Dos son los motivos por los que se solicita el amparo, ambos por infracción del art. 14 CE, tanto de forma directa por su estado civil, en tanto integra una familia monoparental, como indirectamente por su condición de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Discriminación directa por su estado civil, derivada de su condición de integrante de una familia monoparental. Afirma que la diferencia de trato legislativo por su condición de integrante de una familia monoparental debe ser apreciada como una de las causas de discriminación incluidas en el inciso del art. 14 CE, conforme al cual, lo es “cualquier otra condición o circunstancia personal o social” a las citadas por la Constitución. Entiende afectado su derecho al libre desarrollo de la personalidad en cuanto su decisión de formar una familia monoparental está vinculada con las convicciones y creencias más íntimas de la persona (art. 16 CE), y resulta amparada por el derecho a la vida familiar que reconoce el art. 8 del Convenio europeo para la protección de los derechos humanos y de las libertades fundamentales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tanto la actuación administrativa como la judicial que cuestiona se apoyan en la decisión de la recurrente en amparo de ser la única progenitora de su hija, pues este ha sido el criterio rector que ha llevado a denegar la petición de extensión de la duración de las prestaciones por nacimiento de un hijo, lo que constituye un criterio diferenciador manifiestamente irrazonable, contrario al art. 39 CE, y a la propia doctrina del Tribunal Constitucional recogida en la STC 26/2011, de 14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su favor las previsiones del Real Decreto-ley 5/2023, de 28 de junio (art. 127), que ha transpuesto la Directiva (UE) 2019/1158 del Parlamento Europeo y del Consejo, de 20 de junio de 2019, relativa a la conciliación de la vida familiar y la vida profesional de los progenitores y los cuidadores, ampliando las causas de no discriminación reguladas en el art. 4.2 c) LET, incluyendo expresamente el trato desfavorable dispensado a mujeres u hombres por el ejercicio de los derechos de conciliación de la vida familiar y laboral. Considera también aplicable la doctrina establecida en la STC 198/2012, de 6 de noviembre, FJ 5, que declara dignos de protección constitucional a los matrimonios sin descendencia, a las familias extramatrimoniales o monoparentales y, sobre todo, a los hijos, a quienes el art. 39 CE protege con independencia de las circunstancias de sus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para el caso de que este tribunal no apreciase la vulneración del principio de igualdad y la prohibición de toda forma de discriminación, su pretensión de amparo debiera estimarse por vulneración del derecho a la igualdad ante la ley (art. 14 CE), dado que las decisiones impugnadas se han basado en una interpretación carente de justificación objetiva y razonable, siendo sus consecuencias jurídicas especialmente gravosas o desmedidas tanto para la recurrente como para su hija recién nacida.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motivo de queja, afirma la recurrente que, como consecuencia de la razón de exclusión que justifica las resoluciones impugnadas en amparo, se habría producido adicionalmente una discriminación por razón de sexo debido a que, en la mayoría de las familias monoparentales, el progenitor único es una mujer; situación esta a la que se debe aplicar el concepto de discriminación indirecta por razón de sexo que ha sido acogido por la doctrina constitucional. Por último, la demanda traslada a este tribunal la posibilidad de acudir a la previsión orgánica que le permite plantearse cuestión interna de inconstitucionalidad sobre el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su recurso plantea un problema o se refiere a una faceta de un derecho fundamental susceptible de amparo sobre el que no hay doctrina del Tribunal Constitucional; y puede dar ocasión al Tribunal para aclarar o modificar su doctrina mediante un proceso de reflexión interna, y como consecuencia de cambios normativos relevantes para la configuración del contenido del derecho fundamental [STC 155/2009, de 25 de junio, FJ 2 a) y b)]; poniendo de manifiesto, además, que la posible vulneración del derecho fundamental que se denuncia pudiera provenir de la ley (art. 48.4 LET) [STC 155/2009, FJ 2 c)]. Estas circunstancias le llevan a defender que el recurso de amparo presenta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junio de 2024, la Sección Segunda de este tribunal acordó admitir a trámite el presente recurso apreciando que concurría en él la especial trascendencia constitucional que exige el 50.1 de la Ley Orgánica del Tribunal Constitucional (LOTC), como consecuencia de que la posible vulneración del derecho fundamental que se denuncia pudiera provenir de la ley o de otra disposición de carácter general [STC 155/2009, FJ 2 c)]. Asimismo, se acordó en la misma providencia recabar de los órganos judiciales copia adverada de las actuaciones, ordenando se procediera a emplazar a quienes fueron parte en las distintas instancias (Juzgado de lo Social, Sala del Tribunal Superior de Justicia y del Tribunal Supremo)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la letrada de la administración de la Seguridad Social solicitó su personación en nombre del INSS y la TGSS, mediante diligencia de ordenación de 24 de junio de 2024, la Sala Primera del Tribunal Constitucional acordó; (i) tenerla por personada y parte en el procedimiento; y (ii) dar vista de las actuaciones recibidas a las partes personadas y al Ministerio Fiscal, por plazo común de veinte días, dentro de los cuales podrán presentar las alegaciones que estimen pertinentes, conforme determina el artículo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Asociacion de madres solteras por elección, representada por el procurador don David García Riquelme, con la asistencia letrada de doña Lourdes Ruiz Esquerra, presentó escrito en el registro de este tribunal el 16 de julio de 2024 solicitando su personación en el presente procedimiento de amparo. Alegaba en él ostentar interés legítimo sobre la cuestión de fondo planteada. Una vez acreditado que la citada asociación no había sido parte en ninguna de las instancias seguidas en la vía judicial previa, la Sala, mediante providencia de 9 de septiembre de 2024, acordó no admitir la personación solicitada en aplicación de doctrina precedente (ATC 47/2013,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Previamente, con fecha 19 de julio de 2024, la letrada de la administración de la Seguridad Social presentó sus alegaciones postulando la desestimación de la demanda de amparo. Su pretensión se apoya en los siguientes argumentos, sintéticamente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se expresa, la demanda de amparo no justifica la especial trascendencia constitucional de la pretensión de amparo. Apoya dicha afirmación exclusivamente en su discordancia con los argumentos expresados por la demandante para justificar la supuesta vulneración de derechos fundamentales que denuncia. Entiende que no hay ningún derecho fundamental vulnerado como consecuencia de la interpretación administrativa y judicial de la pretensión formulada en la vía previa, por lo cual las previsiones normativas han sido correcta y legítimamente aplicadas en su caso. Según su opinión, tanto la naturaleza como el fundamento de la suspensión temporal del contrato de trabajo como de la prestación económica prevista en la ley impiden apreciar las supuestas vulneraciones denunciadas, negando el carácter discriminatorio de las normas reguladoras aplicadas.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identifica y describe el contenido de las normas legales aplicables para la resolución de su pretensión (Ley general de la Seguridad Social, Ley del estatuto de los trabajadores y Ley de estatuto básico del empleado público) para señalar cuál es el sentido y alcance del permiso y la prestación por nacimiento y cuidado del menor tras su nacimiento, poniendo especial atención en su finalidad, tal y como la describe la exposición de motivos del Real Decreto-ley 6/2019, de 1 de marzo, de medidas urgentes para garantía de la igualdad de trato y de oportunidades entre mujeres y hombres en el empleo y la ocupación, a cuyo tenor no es sino “dar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Pone el acento también en la idea de que los permisos de paternidad y maternidad hoy reconocidos legalmente vienen configurados como un derecho individual, personal e intransferible de cada progenitor, lo que impide su acumulación en uno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Añade que esta es la interpretación jurisprudencial constante y unificada de la Sala de lo Social del Tribunal Supremo, que tuvo oportunidad de pronunciarse expresamente en la STS 169/2023, de 2 de marzo, con una doctrina que contradice el fundamento de fondo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Considera que su alegación en favor de la desestimación del amparo pretendido es también concorde con la doctrina del Tribunal Constitucional fijada en las SSTC 75/2011, de 19 de mayo, y 111/2018, de 17 de octubre, que, resolviendo casos distintos, bajo condiciones normativas distintas, desestimó las pretensiones de amparo entonces planteadas a partir del diferente régimen y finalidad de las prestaciones por paternidad y maternidad, y del hecho de no venir asociadas legalmente dichas prestaciones al requisito único del nacimiento de un hijo o hija común, sino al cumplimiento de los requisitos de afiliación y contribución que las caracterizan.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Señala, en fin, que la interpretación administrativa y judicial del precepto aplicado para denegar a la demandante su petición de extensión de la suspensión del contrato de trabajo con la correspondiente prestación económica (específicamente el art. 48.4 LET), es acorde con la normativa vinculante del Derecho de la Unión Europea y la interpretación que de la misma ha hecho su Tribunal de Justicia, que reconoce también distinto fundamento y finalidad a los permisos de paternidad y maternidad, lo que permite atribuírseles un carácter personal y no transferible, aún en los supuestos en que estos no pudieran disfrutarse o ser reconocidos a uno de los progenitores. En sus alegaciones se analizan también los tratados y acuerdos internacionales citados por la demandante, y otros, para concluir que de ellos no deriva la pretensión de extensión y reconocimiento que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conclusión, la letrada sostiene que ni el principio general de igualdad, ni la alegada discriminación directa por razón de estado civil, o indirecta por razón de sexo se han producido en este caso; ni derivan de la ley rectamente aplicada, ni son consecuencia de una interpretación de esta que no esté atenta a los principios y derechos fundamentales que han sido alegados. La madre biológica trabajadora, por razón de parto, tiene iguales derechos reconocidos por la ley cualquiera que sea el modelo de familia que decida constituir, ya que no todos los hijos nacidos en familias biparentales disfrutan del derecho a que madre y padre les atiendan por igual espacio de tiempo, con la cobertura económica correspondiente por suspensión del contrato de trabajo, ya que tal situación solo se produce cuando los progenitores satisfacen los requisitos establecidos por el legislador, una vez producido el evento que los justifica, el parto de un descendiente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siguiente 23 de julio de 2024, la representación procesal de la demandante presentó sus alegaciones en las que ratificó el fundamento de su pretensión de amparo mediante remisión al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5 de septiembre de 2024, el Ministerio Fiscal interesó también la desestimación del recurso de amparo. No aprecia que se hayan producido las vulneraciones de derechos fundamentales aducidas, lo que justifica con base en los siguientes argumentos, que se exponen de forma resumida: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identificar el art. 48.4 LET (en relación con el art. 177 LGSS) como preceptos aplicados y aplicables a la cuestión planteada en el recurso de amparo, y describir la consolidada doctrina constitucional sobre los distintos contenidos protegidos del art. 14 CE y sus diversos cánones de control constitucional, pone de manifiesto que, en su regulación del tratamiento de las madres biológicas con contrato de trabajo, la Ley del estatuto de los trabajadores no distingue para reconocerles la suspensión temporal del mismo por razón de parto en función de que constituyan o no una familia monoparental. Añade que la prestación reconocida en ese mismo supuesto por el art. 177 LGSS se concede a quien esté incluido en el régimen general de cotización, cualquiera que sea su sexo, siempre que acredite haber cubierto un periodo mínimo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dichas previsiones legales, entiende que la supuesta vulneración de derechos fundamentales que se denuncia derivaría de la ausencia de una previsión expresa en la ley sobre las familias monoparentales; lo que no constituye una laguna del legislador sino supondría una inconstitucionalidad por omisión si la pretensión de la demandante pudiera derivarse razonadamente de un mandato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Coincide el fiscal con el razonamiento que llevó al Tribunal Supremo (Sala de lo Social) a rechazar una pretensión similar a la analizada (STS 169/2023, de 2 de octubre), pues, entendiendo que la regulación vigente no es contraria a la Constitución, imponer la solución que propugna la recurrente significaría una indebida creación legislativa, tarea que no corresponde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expresa el fiscal su discrepancia en relación con las supuestas vulneraciones del art. 14 CE que fundamentan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Considera el fiscal que bajo la aducida vulneración de la cláusula general de igualdad reconocida en el art. 14 CE, el planteamiento de la demanda lo que realmente afirma es la existencia de una discriminación por indiferenciación, pues se le otorga el mismo tratamiento jurídico, como consecuencia del parto, a las familias monoparentales y a las que no lo son, en tanto las segundas reciben el reconocimiento legal de dos periodos de suspensión temporal del contrato de trabajo, con la correspondiente prestación económica asociada, si cumplen los requisitos de afiliación y cotización exigidos en la ley, mientas que la familia monoparental solo recibiría un periodo, dado el carácter intransferible del permiso y prestación reconocidos en favor del progenitor distinto de la madre biológica. Pero tal supuesta inconstitucionalidad por indiferenciación ya ha sido rechazada por la doctrina constitucional que no admite las pretensiones de trato desigual en supuestos desiguales; es decir, el art. 14 CE no ampara el derecho a una desigualdad de trato (SSTC 16/1994, de 20 de enero; 114/1995, de 6 de julio, o 181/2000,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entiende que la vulneración denunciada no concurre en este supuesto, ni expresa una situación de inconstitucionalidad por omisión pues, conforme estableció la STC 5/1981, de 13 de febrero, '“[e]l Tribunal Constitucional es intérprete supremo de la Constitución, no legislador, y solo cabe solicitar de él el pronunciamiento sobre adecuación o inadecuación de los preceptos a la Constitución”. “De modo que en la arquitectura constitucional no es este tribunal quien debe dar respuesta positiva a las (supuestas) demandas de la sociedad. Esta tiene otros cauces y otros órganos para expresarlas. Por tanto, únicamente cuando la omisión del legislador sea equivalente a la negación de la eficacia directa y plena de un mandato o derecho concreto de la Constitución puede este tribunal apreciarlo así y declarar, o más bien reiterar, la eficacia de ese precepto constitucional silenciado o desconocido”. Para el fiscal, la situación denunciada no expresa una laguna u omisión involuntaria del legislador, ni se estima que exista un mandato directo del art. 14 o del 39 CE, que permitan hacer una interpretación creativa de las normas legales para suplir dicha supuesta omisión o laguna, ampliando al doble la prestación en favor de la madre biológica que se otorga en los arts. 177 al 179 LGSS con relación al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Añade que la reforma realizada por el Real Decreto-ley 6/2019, de 1 de marzo (la regulación actual), en cuanto establece el carácter individual del derecho a la suspensión del contrato de trabajo por nacimiento y cuidado del menor, sin posibilidad de transferencia o cesión, no provoca “un efecto no deseado de desprotección de los menores nacidos en familias monoparentales” ni supone que los hijos nacidos en dicho modelo familiar vean reducido el alcance temporal de su derecho a la atención y cuidado en sus primeros meses de vida, como dice la demanda de amparo, sino que tienen la misma protección y el mismo alcance temporal que antes de la reforma. Tomando en consideración la prestación económica asociada a la suspensión temporal del contrato de trabajo en favor de ambos progenitores de una familia biparental, reitera en sus alegaciones que se trata de una situación diferente a la de la familia monoparental. Pone el acento en que la demandante reitera que se le atribuya la prestación económica correspondiente al progenitor no conocido, pero no vincula dicha reclamación a los intereses de cuidado del recién nacido. Rechaza también que exista una discriminación por razón de estado civil, pues este no es un parámetro que se tome en cuenta en el art. 48.4 LET para declarar personal e intransferible el periodo de suspensión del contrato de trabajo, que es lo que impide, de hecho, estimar la pretensión ejercitada ante la administración y los órganos judiciales, que ahora se reitera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aprecia que se produzca una discriminación indirecta por razón de sexo. Reitera que el Real Decreto-ley 6/2019 no empeoró la situación de las madres biológicas al equiparar el permiso por nacimiento de un menor de ambos progenitores; muy al contrario, el objeto del carácter intransferible de dicha previsión en favor del progenitor distinto de la madre biológica es favorecer la participación de estos en el cuidado de los hijos, lo que significa favorecer la eliminación de roles de genero en la atención a los recién nacidos y de aquellas barreras que dificultan el acceso equitativo de las mujeres al mercado laboral; efecto este que se promueve mediante la equiparación del tratamiento de ambos progenitores en caso de parto de un menor común. Recuerda el fiscal, en fin, que el Derecho de la Unión Europea ha alertado contra la adopción de medidas que, si bien contienen un trato favorable para la mujer, en la práctica tienden a perpetuar los roles de género (STJUE de 30 de septiembre de 2010, Roca Álvarez, asunto C-104/09, especialmente el parágrafo 36 en relación con el 24 y el 25), lo que ha expresado en un caso en que la medida controvertida en el litigio principal establecía una diferencia de trato por razón de sexo favorable a la mujer, entre las madres que tenían la condición de trabajadoras por cuenta ajena y los padres que tenían esa misma condición. Estos efectos contrarios a la equiparación del tratamiento jurídico de las personas de distinto sexo pueden producirse para el caso de que se atienda la pretensión de la demandante, pues las madres biológicas que conformen una familia monoparental van a disfrutar de doble duración del periodo de suspensión temporal del contrato de trabajo, lo que puede favorecer conductas contrarias a su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finaliza su alegato señalando que su oposición a la pretensión de amparo no pretende negar que las familias monoparentales merecen una protección específica (como la que ofrece el art. 182 LGSS), especialmente si se pretende algo tan importante como aumentar el índice de natalidad; protección que será claramente necesaria si sus ingresos son bajos, porque el menor cuenta con una persona menos a la que reclamar alimentos y cuidado.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28 de noviembre de 2024, se señaló para deliberación y votación de la presente sentencia el día 2 de diciembre de 2024.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judiciales impugnadas han ocasionado a la demandante una discriminación por razón de nacimiento, contraria al art. 14 CE, en relación con el art. 39 CE, al aplicar el art. 48.4 del texto refundido de la Ley del estatuto de los trabajadores (LET), en relación con el art. 177 del texto refundido de la Ley general de la Seguridad Social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especial trascendencia de la cuestión planteada y su justificación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la fundamentación de la demanda de amparo y del debate planteado y resuelto en la vía judicial previa sobre el alcance y contenido de los arts. 48.4 LET y 177 LGSS, el presente recurso de amparo fue admitido a trámite tras apreciar que la posible vulneración del derecho fundamental que se denuncia pudiera provenir de la ley [STC 155/2009, FJ 2 c)], en tanto las decisiones administrativas y judiciales cuestionadas justificaban en cada caso la desestimación de la pretensión planteada en el tenor literal de la regulación jurídica aplicable y aplicada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de la Seguridad Social cuestiona en sus alegaciones que la demandante haya justificado de forma debida la especial trascendencia constitucional de la cuestión planteada en la demanda de amparo. Sin embargo, tal objeción no puede ser compartida como óbice procesal que conllevaría la inadmisión de la demanda pues, a través de dicha alegación, no se hace sino discrepar de la fundamentación que justifica la queja, anticipando la representante de la administración que no se ha producido vulneración alguna del derecho a la igualdad ante la ley sin que haya lugar a discriminación. Este argumento habrá de ser analizado al resolver la cuestión de fondo lo que, cabe anticipar, se hará en los mismos términos en que ha sido expresado en la reciente STC 140/2024, de 6 de noviembre (del Pleno), a la que, por coincidir su objeto, habremos de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Laura Yoldi Sada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resolución de 2 de septiembre de 2021 del Instituto Nacional de la Seguridad Social (INSS) que desestimó la petición de revisión y ampliación de la prestación por nacimiento y cuidado de su hija menor; de la sentencia núm. 169/2022, de 6 de abril, del Juzgado de lo Social núm. 2 de Pamplona (autos núm. 886-2021); de la sentencia núm. 271/2022, de 21 de julio, de la Sala de lo Social del Tribunal Superior de Justicia de Navarra (recurso de suplicación núm. 263-2022); y del auto de 12 de julio de 2023, de la Sala de lo Social del Tribunal Supremo (recurso de casación para la unificación de doctrina núm. 4255-2022) que inadmitió a trámite el recurso presentado.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de 2 de septiembre de 2021 (INSS), a fin de que, en los términos expuestos en el último párrafo del fundamento jurídico 3, se dicte otra respetuosa con el derecho de la recurrente cuya vulneración ha sido declarada.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