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4631-2023, promovido por doña Inés González Lobo, representada por el procurador de los tribunales don David García Riquelme y asistida por la letrada doña Lourdes Ruiz Ezquerra, contra la resolución del Instituto Nacional de la Seguridad Social de 21 de junio de 2021, que denegó tácitamente la solicitud de ampliación de la prestación por nacimiento y cuidado de hijo menor a la madre biológica de familia monoparental, y contra la resolución del mismo organismo que por silencio administrativo rechazó la reclamación administrativa previa formulada frente a la anterior resolución; contra el auto de la Sala de lo Social del Tribunal Supremo, de 24 de mayo de 2023, que inadmitió el recurso de casación para la unificación de doctrina núm. 5723-2022 interpuesto por la demandante de amparo contra la sentencia núm. 985/2022, de la Sala de lo Social del Tribunal Superior de Justicia de Madrid, de 2 de noviembre de 2022, que desestimó su recurso de suplicación núm. 775-2022 interpuesto frente a la sentencia núm. 304/2021, del Juzgado de lo Social núm. 43 de Madrid, de 22 de diciembre de 2021, recaída en los autos núm. 914-2021, que desestimó su demanda sobre reclamación de cantidad frente al Instituto Nacional de la Seguridad Social y la Tesorería General de la Seguridad Social. Han intervenido el letrado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julio de 2023, el procurador de los tribunales don David García Riquelme, actuando en nombre y representación de doña Inés González Lobo, con la asistencia letrada de doña Lourdes Ruiz Ezquerra, interpuso recurso de amparo frente a las resoluciones administrativas y judiciales que las confirmaron,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18 de mayo de 2021 con el que forma una familia monoparental, solicitó prestación por nacimiento y cuidado del menor, interesando que a su prestación (de dieciséis semanas de duración) se acumulase la parte que hubiera correspondido al otro progenitor de haberse tratado de una familia biparental (esto es, otras dieciséis semanas adicionales). La prestación le fue reconocida por resolución de 21 de junio de 2021 del Instituto Nacional de la Seguridad Social (INSS) en la parte que le correspondía (dieciséis semanas) sin que se produjera respuesta alguna a su solicitud de ampliación del permiso en la parte que hubiera correspondido al segundo progenitor. Frente a esa resolución se interpuso reclamación previa que no fue contestada.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y defendiendo que la denegación de la ampliación de la prestación vulneraba el art. 14 CE, la recurrente en amparo interpuso demanda en la vía judicial, lo que dio lugar a los autos núm. 914-2021 seguidos ante el Juzgado de lo Social núm. 43 de Madrid. Por la sentencia núm. 304/2021, de 22 de diciembre, se desestimó la demanda al apreciar que la pretensión de la parte actora carecía de amparo legal y que, si bien era cierto que para el menor la atención y el apego de los dos progenitores podía resultar más beneficioso, eso no era algo que debiera ser necesariamente protegido por el sistema de la Seguridad Social salvo en circunstancias excepcionales. En suma, las familias “biparentales” o “monoparentales” no eran, en principio, titulares de los derechos, siéndolo única y exclusivamente las personas, que con plena libertad pueden adoptar las decisiones vitales que consideren pertinentes con las consecuencias jurídicas que les fueran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la parte actora ante la Sala de lo Social del Tribunal Superior de Justicia de Madrid, recurso núm. 775-2022 en el que se denunció, entre otras, la infracción de los arts. 10, 14 y 39 CE. El recurso fue desestimado por sentencia núm. 985/2022, de 2 de noviembre, que confirmó lo decidido en la instancia aplicando lo decidido por esa Sala en sentencia de 6 de abril de 2022, cuyos argumentos reprodujo. En síntesis, la Sala se basó en: (i) la imposibilidad de transferencia del periodo de disfrute desde la aprobación del Real Decreto-ley 6/2019, de 1 de marzo (que ni siquiera lo permitía en el supuesto de “monoparentalidad sobrevenida” por fallecimiento de la madre biológica), aclarando que la cuestión no era la interpretación de la norma legal sino si podía ser preterida por otras de aplicación prevalente; (ii) el art. 14 CE no habilitaba a inaplicar el precepto, sino solo al planteamiento de cuestión de inconstitucionalidad; la normativa internacional (Convención sobre los derechos del niño) no tenía un precepto que pudiera conducir a la ampliación reclamada por la actora pues solo contenía preceptos genéricos; (iii) la parte no denunciaba, en realidad, una diferencia de trato injustificada, sino que reclamaba una discriminación positiva a favor de las familias monoparentales; (iv) no cabría hablar de discriminación por razón de género respecto a la mujer al no haberse acreditado una principal y mayoritaria incidencia respecto a la mujer de la desigualdad discutida. Al no apreciarse vulneración del art. 14 CE se descartó el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se formalizó por la parte actora recurso de casación para la unificación de doctrina, recurso núm. 5723-2022, que fue inadmitido por medio de auto de 24 de mayo de 2023 por falta de contenido casacional al adecuarse la sentencia recurrida a la doctrina sentada, en Pleno, por la Sala de lo Social del Tribunal Supremo en su sentencia de 2 de marzo de 2023, recurso núm. 3972-2020 (ECLI:ES:TS:2023:783). En esta resolución se recordó que la función de los jueces es la aplicación e interpretación de la norma, pero no la creación del Derecho, y que lo que se pretendía solo le correspondía al legislador, no competiéndoles a los jueces modificar el régimen de prestaciones del sistema de la Seguridad Social suplantando al legislador, ni modificar la suspensión del contrato prevista en el art. 48.4 del texto refundido de la Ley del estatuto de los trabajadores aprobado por el Real Decreto Legislativo 2/2015, de 23 de octubre (LET), o la correlativa prestación regulada en el art. 177 del texto refundido de la Ley general de la Seguridad Social, aprobado por el Real Decreto Legislativo 8/2015, de 30 de octubre (LGSS). Se apreció que tales normas no eran contrarias a la Constitución sino expresión de la voluntad normativa tendente al cumplimiento estricto y completo de los principios constitucionales, ni eran contrarias a la normativa internacional ni a la de la Unión Europea. Se subrayó, asimismo, que el interés del menor no era el único en juego, pues también estaban implicadas la corresponsabilidad de los progenitores en el cuidado de los hijos y la igualdad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a la igualdad y no discriminación (art. 14 CE). En primer lugar, denuncia ser víctima de una discriminación por razón de circunstancia familiar y estado civil en tanto que por haber tomado la libre decisión de formar una “familia monoparental” se ve limitado su deber-derecho de cuidado de su hijo. Esa diferenciación resulta contraria al art. 39 CE, que impone a los poderes públicos el deber de asegurar la protección integral de la familia, y a la normativa internacional que protege los derechos del niño. Niega que se esté alegando una discriminación por indiferenciación, pues lo que se reclama es una ampliación del permiso para que no se perjudique a la mujer que es la única progenitora ni a su hijo. Subsidiariamente, para el caso de que no se aprecie la discriminación denunciada, se denuncia la infracción del derecho a la igualdad ante la ley (art. 14 CE) al entender la parte que la interpretación judicial careció de una justificación objetiva y razonable, siendo sus consecuencias jurídicas especialmente gravosas o desmedidas para la madre y el hijo recién nacido. Aparte de la discriminación directa, se alega una discriminación indirecta por razón de sexo por cuanto que está claro que estadísticamente ocho de cada diez familias monoparentales son familias “monomarentales”. En suma, el precepto aplicado afectaría de forma negativa mayoritariamente a las mujeres. Finalmente, sostiene que el recurso de amparo planteado tiene especial trascendencia constitucional, citando como motivos los previstos en los apartados a), b), e) y g) del fundamento jurídico 2 de la STC 155/2009, de 25 de junio. También se advirtió en el recurso la oportunidad de que este tribunal plantease una cuestión interna de inconstitucionalidad sobre el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2024, la Sección Segunda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FJ 2 c)]”. En aplicación de lo previsto en el art. 51 LOTC dispuso requerir a la Sala de lo Social del Tribunal Supremo y a la Sección Segunda de la Sala de lo Social del Tribunal Superior de Justicia de Madrid a fin de que, en el plazo que no excediera de diez días, remitiesen certificación o fotocopia adverada de las actuaciones correspondientes al recurso de casación para la unificación de doctrina núm. 5723-2022 y al recurso de suplicación núm. 775-2022, respectivamente. Asimismo, acordó dirigir atenta comunicación al Juzgado de lo Social núm. 43 de Madrid a fin de que, en plazo que no excediera de diez días, remitiese certificación o fotocopia adverada de las actuaciones correspondientes a los autos núm. 914-2021,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julio de 2024 se presentó ante el registro de este tribunal escrito de la Asociación de madres solteras por elección a traveés de su presidenta, doña Pilar Castellanos, representada procesalmente por el procurador don David García Riquelme y asistida de la letrada doña Lourdes Ruiz Ezquerra, solicitando su personación como parte coadyuvante de la recurrente en el presente procedimiento de amparo por ostentar interés legítimo sobre la cuestión de fondo planteada. Tras requerir a dicha entidad por diligencia de ordenación de la Secretaría de Justicia de la Sección Segunda de este tribunal, de 22 de julio de 2024, a fin de saber si la misma había sido parte en el proceso previo, aportando en su caso la documentación acreditativa, la citada asociación presentó escrito el 26 de julio de 2024 manifestando que no lo había sido. La Sala Primera de este tribunal, mediante providencia de 21 de octubre de 2024, acordó no admitir la personación solicitada, al no haber sido la asociación solicitante parte en la vía judicial previa tal como exige el art. 51.2 LOTC, y en aplicación de reiterada doctrina de este tribunal (ATC 47/2013, de 25 de febrero, FJ único, y los anteriores que en él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11 de septiembre de 2024 el letrado de la administración de la Seguridad Social, actuando en nombre y representación del INSS y de la Tesorería General de la Seguridad Social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10 de octubre de 2024 se tuvieron por recibidos los testimonios de actuaciones remitidos por la Sala de lo Social del Tribunal Supremo, por la Sala de lo Social del Tribunal Superior de Justicia de Madrid y por el Juzgado de lo Social núm. 43 de Madrid y el escrito de personación del letrado de la administración de la Seguridad Social, a quien se tuvo por personado y parte en nombre y representación del INSS y de la TGSS. Asimismo, a tenor de lo dispuesto en el art. 52 LOTC se acordó dar vista de todas las actuaciones del presente recurso de amparo en la sede electrónica de este tribunal a la parte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presentado el 11 de noviembre de 2024 en el registro de este tribunal, la recurrente en amparo interesó la estimación de su recurso, dando por reproducida la argumentación contenida en el mismo y señalando que las pretensiones de esa parte se han visto confirmadas recientemente por este tribunal al haber declarado la inconstitucionalidad de los preceptos legales cuestionados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octubre de 2024 tuvo entrada en el registro de este tribunal el escrito del letrado de la administración de la Seguridad Social realizando alegaciones en la representación que ostenta de las entidades gestoras demandadas en el proceso a quo. Niega que las normas cuestionadas resulten discriminatorias y, en tal sentido, subraya: (i) que el permiso del progenitor distinto a la madre biológica tiene por objeto fomentar la corresponsabilidad en el cuidado del hijo y facilitar la conciliación de la vida familiar y personal, situación que no concurriría en el caso de familias monoparentales ya que no existe un segundo progenitor; y (ii) que el legislador tiene en esta materia un amplio margen para la configuración del sistema en función de los recursos disponibles y hay que partir del carácter contributivo del permiso, sujeto a la concurrencia de determinados requisitos normativamente establecidos que también se aplican a los menores nacidos en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indica que la recurrente en amparo, tras disfrutar de su permiso por nacimiento de hijo (dieciséis semanas), se reincorporó al trabajo sin solicitar su ampliación percibiendo, por lo tanto, el correspondiente salario, y que tal salario es incompatible con la prestación que solicita. A resultas de ello, se señala que en ningún caso la hipotética estimación del presente recurso de amparo llevaría aparejado el reconocimiento de la prestación económica de Seguridad Social, dada su incompatibilidad con el salario percibido en el periodo que se reclama. Se afirma después bajo el apartado titulado “no justificación de la trascendencia constitucional” que no existe ningún derecho fundamental que resulte vulnerado por el hecho de no reconocerse un periodo superior a dieciséis semanas en una prestación de Seguridad Social a quien se reincorporó sin objeción a su trabajo tras el periodo de descanso, habiendo percibido por ello su salario. Y se entiende que no parece que la discriminación por razón de sexo o estado civil o el interés jurídico del menor sean el fundamento que subyace al recurso, sino tan solo una cuestión económica. En cualquier caso, advierte que la actora tenía a su disposición otras instituciones creadas para el cuidado del hijo como la reducción de jornada o la excedencia para el cuidado de menores de las que no hizo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entiende que de estimarse la pretensión de la recurrente se le haría de mejor condición por ser madre de una familia monoparental y reitera que la recurrente no justifica la interposición del recurso pues no existe trascendencia constitucional, al menos en el presente caso en el que no hubo pérdida retributiva alguna que amparase el mecanismo de protección del sistema de Seguridad Social. En cualquier caso, niega también que las normas denunciadas fueran discriminatorias, indicando que la protección de la familia y de los hijos (art. 39 CE) no constituyen derechos fundamentales y que la alegación de la vulneración del derecho a la igualdad y a la no discriminación carece de fundamento pues no aporta situaciones de contraste parangonables.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después, un examen de la normativa aplicable (tanto nacional como internacional y de la Unión Europea), de la doctrina de la Sala de lo Social del Tribunal Supremo sobre la materia [sentencia de 2 de marzo de 2023, principalmente, y también de 29 de enero de 2024, recurso 2832-2022 (ECLI:ES:TS:2024:1103)], de la doctrina constitucional existente al tiempo de realizarse las alegaciones (esto es, la anterior al dictado de la STC 140/2024, de 6 de noviembre, que declaró la inconstitucionalidad de los preceptos que en este caso se cuestionaban), de la sentada por el Tribunal de Justicia de la Unión Europea y de la finalidad de la concesión de los permisos por nacimiento y cuidado de hijos, para terminar negando, tras todo ello, las infracciones constitucionales alegadas ya que las familias monoparentales estarían recibiendo el mismo trato que las familias biparentales y de reconocerse la ampliación a las primeras se estaría discriminando a las segundas pues al segundo progenitor se le exige cumplir los requisitos legalmente previstos (alta y periodo de cotización) para poder disfrutar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se interesa la desestimación del recurso de amparo y, para el eventual supuesto de que se estime, se solicita: (i) que se deniegue la retroacción de las actuaciones al momento previo al dictado de la resolución del INSS de 21 de junio de 2021, al no existir derecho alguno a la prestación de Seguridad Social si la recurrente se reincorporó a su relación laboral tras el permiso de dieciséis semanas dado por su empresa a la vista de la incompatibilidad entre el salario y la prestación por nacimiento y cuidado de menor; y (ii) en caso de estimarse la retroacción solicitada, reconocer que el aumento de la duración del permiso laboral y la correlativa prestación, tras el agotamiento de las primeras dieciséis semanas, sería como máximo de diez semanas y no de dieciséis como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el 4 de diciembre de 2024 evacuando el trámite conferido para realizar alegaciones, interesando la estimación del recurso de amparo por vulneración del derecho fundamental de la demandante y de su hijo a la no discriminación (art. 14 CE), de conformidad con la declaración de inconstitucionalidad de los arts. 48.4 LET y 177 LGSS efectuada en la STC 140/2024, de 6 de noviembre, cuyos principales argumentos reproduce. En tal sentido señala que, en aplicación del criterio constitucional mantenido en esa sentencia sobre la regulación de la suspensión del contrato de trabajo, y la correspondiente prestación de la Seguridad Social, por nacimiento y cuidado de hijos que se contiene en los arts. 48.4 LET y 177 LGSS, procede la estimación del recurso pues, al aplicar los mencionados artículos recientemente declarados inconstitucionales, las resoluciones impugnadas han generado la discriminación prohibida por el art. 14 CE, en relación con el art. 39 CE, tanto de la demandante de amparo por constituir una familia monoparental, como del hijo por razón de haber nacido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después, que en el proceso laboral subyacente no se debatía la duración de la suspensión del contrato de trabajo, sino la concesión de la prestación de la Seguridad Social de los arts. 177 y ss. LGSS que corresponderían al segundo progenitor, en caso de haber existido. Y que el motivo de la vulneración del art. 14 CE, en relación con el art. 39 CE (de acuerdo con la citada sentencia constitucional) es el derecho a la no discriminación porque la normativa cuestionada (arts. 48.4 LET y 177 LGSS) provoca una desigualdad de trato perjudicial para los menores nacidos en familias monoparentales frente a los nacidos en familias biparentales en atención al inferior periodo de tiempo que las primeras, al estar formadas por un único progenitor, tienen para el cuidado del hijo de hasta doce meses de edad, por la regulación de la suspensión del contrato de trabajo (art. 48.4 LET). Se destaca que la duración de la prestación del art. 177 LGSS que ha sido objeto de reclamación en el proceso laboral está vinculada a la suspensión del contrato de trabajo por nacimiento y cuidado del menor que establece el citado art. 48.4 LET y que, por ese motivo, al denegar la ampliación de la prestación, las resoluciones impugnadas han resultado contrarias al art. 14 CE en relación con el art. 39 CE, y por tanto nulas. No se trata, en definitiva, prosigue diciendo, de que la interpretación y aplicación de los mencionados preceptos se haya realizado de manera ilógica o arbitraria, ya que cuando se aplicaron eran normas con rango de ley y no se había declarado su inconstitucionalidad. El Tribunal Constitucional, en la mencionada sentencia, no mantiene que los preceptos sean constitucionales con una interpretación conforme a la Constitución, sino que los declara directamente contrarios al art. 14 CE, en relación con el art. 39 CE, por omisión, estableciendo una interpretación provisional para que su aplicación no siga produciendo una vulneración del art. 14 CE, en relación con el art. 39 CE. Es la inconstitucionalidad de las normas, por consiguiente, la que produce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el Real Decreto Legislativo 2/2015, de 23 de octubre, en relación con el art. 177 del texto refundido de la Ley general de la Seguridad Social, aprobado por el Real Decreto Legislativo 8/2015, de 30 de octubre,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objeción de “no justificación de la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las quejas de fondo de la demanda, el letrado del INSS advierte en su escrito de alegaciones del trámite del art. 52 LOTC que la demanda había incurrido en el defecto de “no justificación de la trascendencia constitucional”, señalando más adelante que “no existe trascendencia constitucional” en el recurso, todo ello porque no se habría producido la vulneración del derecho fundamental que denuncia la demanda, empleando al respecto argumentos que luego utiliza en el mismo escrito para pedir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palmario que el escrito de alegaciones confunde como una misma cosa tres conceptos distintos como son la falta de justificación de la especial trascendencia constitucional (óbice formal ex art. 49.1 in fine LOTC), la falta material de este requisito [art. 50.1 b) LOTC y STC 155/2009, de 25 de junio, FJ 2] y la inexistencia de la vulneración del derecho fundamental invocado como infringido, es decir, el propio tema de fondo planteado, lo que relevaría de más contestación. Lo cierto, en cualquier caso, es que el escrito del representante del INSS no ofrece razón alguna para reconsiderar el juicio positivo sobre la especial trascendencia constitucional que quedó expresado en la providencia de admisión del presente recurso, mientras que lo que concierne a la cuestión de fondo se resuelve en el próximo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en relación con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Inés González Lobo por vulneración del derecho fundamental de igualdad ante la ley sin discriminación por razón de nacimiento (art. 14 CE) de un hijo menor en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siguientes resoluciones: (i) la resolución del Instituto Nacional de la Seguridad Social de 21 de junio de 2021 y la desestimación por silencio administrativo de la reclamación previa interpuesta frente a ella; (ii) la sentencia núm. 304/2021, de 22 de diciembre, dictada por el Juzgado de lo Social núm. 43 de Madrid en los autos núm. 914-2021; (iii) la sentencia núm. 985/2022, de 2 de noviembre, dictada por la Sección Segunda de la Sala de lo Social del Tribunal Superior de Justicia de Madrid en el recurso de suplicación núm. 775-2022, y (iv) el auto de 24 de mayo de 2023 dictado por la Sala de lo Social del Tribunal Supremo en el recurso de casación para la unificación de doctrina núm. 5723-2022.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administrativas mencionadas en el apartado anterior, para que el Instituto Nacional de la Seguridad Social dicte resolución expresa que resulte respetuosa con el derecho fundamental reconocido a la recurrente, con el alcance fijado en el último párrafo del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