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2024-2022, promovido por doña O.V.R., representada por la procuradora de los tribunales doña Milagros Duret Arguello y bajo la asistencia letrada de doña Yolanda Loureiro Dios, contra el auto núm. 81/2021, de 30 de julio, dictado en los autos de medidas provisionales núm. 12-2021 por el Juzgado de Violencia sobre la Mujer núm. 1 de Vitoria-Gasteiz, aclarado por auto de 15 de octubre del mismo año y contra el que se interpuso incidente de nulidad, desestimado por auto de 17 de diciembre de 2021 y cuya solicitud de aclaración fue rechazada el 2 de febrero de 2022. Ha comparecido don J.V.O., representado por la procuradora doña Isabel Gómez Pérez de Mendiola y asistido por el abogado don Juan José García Carretero.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marzo de 2022, la procuradora de los tribunales doña Milagros Duret Arguello, en nombre y representación de doña O.V.R., bajo la asistencia letrada de doña Yolanda Loureiro Dios, interpuso recurso de amparo contra la resolución judicial citada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para resolver las pretensiones planteadas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O.V.R., y don J.V.O., contrajeron matrimonio el 1 de julio de 2016, unión de la que nació E.V.V., hijo menor común que contaba con tres años en el momento en que se iniciaron las acciones judiciales que dieron origen 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5 de noviembre de 2020, doña O.V.R., se trasladó junto a su hijo desde Vitoria-Gasteiz, lugar de residencia familiar hasta aquel momento, a la ciudad de A Coruña, donde viven los abuelos maternos y donde, el 16 de noviembre del mismo año, presentó denuncia contra don J.V.O., por violencia de género, dando lugar con ello al atestado núm. 8208-2020 de la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referido atestado, obrante en las actuaciones a disposición de este tribunal, doña O.V.R., denunció que las discusiones y malentendidos en el seno de su matrimonio con don J.V.O., habían comenzado hacía unos cuatro o cinco años, relatando en su comparecencia tres episodios concretos de violencia tras el nacimiento de su hijo común, de entre los cuales el menor habría estado presente en al menos uno. La ahora demandante de amparo adujo, en primer lugar, que en dos de estos episodios don J.V.O., le había agarrado por el cuello y empujando contra la pared, pasando a continuación a relatar los hechos acontecidos el 1 de noviembre de 2020 cuando, con motivo de un desacuerdo relativo al cuidado de su hijo común, don J.V.O., le había vuelto a agarrar del cuello, tirándola después al suelo, donde le propinó varias patadas en el muslo izquierdo y amenazó con “abrirle el cráneo y partirle la cabeza”, culpabilizándola de su propio modo de actuar. Tras dicho episodio, siempre según el referido atestado, doña O.V.R., habría conseguido incorporarse y, en un intento posterior por entablar conversación con su entonces marido, habría sido objeto de una nueva agresión al cogerle don J.V.O., primero del cuello y después del brazo, inmovilizándola al retorcérselo.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actuaciones a disposición de este tribunal obran tanto el referido atestado policial como un parte de asistencia del Hospital San José, con fecha de entrada el 1 de noviembre de 2020 a las 23:36 horas, en el que, constando mención por doña O.V.R., a una discusión con su marido en la que le habría agarrado del cuello, tirado al suelo y dado varias patadas en el muslo izquierdo, se incluye como juicio clínico-diagnóstico “Policontusiones. Agresión en contexto de violencia de género”. En la hoja de alta de urgencias, a disposición también de este tribunal, se solicita parte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días 11 de noviembre y 17 de noviembre de 2020, don J.V.O., solicitó, respectivamente, medidas urgentes de protección ex arts. 156 y 158 del Código civil (CC) y medidas previas a la demanda de divorcio ex art. 771 de la Ley de enjuiciamiento civil (LEC) ante los juzgados de familia de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18 de noviembre de 2020, el Juzgado de Violencia sobre la Mujer núm. 1 de A Coruña acordó incoar diligencias previas en procedimiento abreviado, núm. 1044-2020, e inhibirse en favor del Juzgado de Violencia sobre la Mujer de Vitoria-Gasteiz, declarando que los hechos resultantes de lo actuado hacían “presumir la posible existencia de delito de violencia doméstica y de género, maltrato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noviembre de 2020 la letrada de doña O.V.R., interpuso recurso de reforma contra el auto de inhibición dictado por el Juzgado de Violencia sobre la Mujer núm. 1 de A Coruña el 18 de noviembre. Recurso que fue desestimado el 11 de enero de 2021 al entender el órgano judicial que, no habiendo referido la denunciante ningún episodio violento desde su traslado a Galicia, no resultaba aplicable excepción alguna a la regla general del forum delicti comissi.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Doña O.V.R., interpuso recurso de apelación, núm. 506-2021, contra el auto de 18 de noviembre de 2020, que fue desestimado por la Audiencia Provincial de A Coruña el 27 de mayo de 2021. El 11 de junio del mismo año la inhibitoria devino firme al denegar la Audiencia Provincial la preparación del recurso de casación solicitada por la representación procesal de la recurrente en amparo contra el auto de 27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solicitud de don J.V.O., de medidas de protección relativa al ejercicio inadecuado de la potestad de guarda fue admitida a trámite por el Juzgado de Primera Instancia núm. 8 de Vitoria-Gasteiz el 23 de noviembre de 2020. El 24 de noviembre fue admitida por el mismo órgano jurisdiccional la solicitud de medidas previas a la demanda de divorcio. Ambas demandas fueron acumuladas por el Juzgado de Primera Instancia núm. 8 de Vitoria-Gasteiz que, por auto núm. 690/2020, de 26 de noviembre, acordó el archivo del procedimiento en aplicación del art. 6.2 de la Ley 15/2015, de 2 de julio, de la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24 de noviembre de 2020, la fiscalía provincial de A Coruña otorgó certificado de indicios de delito requerido por doña O.V.R., a efectos de solicitar la escolarización de su hijo en la ciudad gallega con el mismo nombre, siendo emitido al día siguiente por el ayuntamiento informe sobre su condición de víctima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26 de noviembre de 2020, doña O.V.R., presentó una solicitud de admisión del menor en un centro dependiente de la Conselleria de Cultura, Educación e Universidade de A Coruña, alegando traslado de domicilio y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actuaciones que obran a disposición de este tribunal, previamente, el 20 de noviembre de 2020, don J.V.O., remitió correo electrónico a la jefatura territorial de la mencionada conselleria en el que manifestaba su oposición a una posible solicitud de escolarización de su hijo menor en un centro docente adscrito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 de diciembre de 2020, dictado en las diligencias previas de procedimiento abreviado 1044-2020, el Juzgado de Violencia sobre la Mujer núm. 1 de A Coruña denegó la orden de protección solicitada por doña O.V.R. El auto se fundamentó, por un lado, en la falta de acreditación de la existencia de una situación de riesgo habida cuenta de la ausencia tanto de actos amenazantes y/o intimidatorios desde su traslado a Galicia, como de una solicitud de medidas de carácter penal. En el auto se advierte además de la existencia de un contacto diario con el investigado, por vía telemática, para garantizar el mantenimiento de la relación con su hijo menor. Por otro lado, la negativa al reconocimiento de medidas de protección se justifica también sobre la base de la apreciación de ciertas inconsistencias en las declaraciones de doña O.V.R., quien, según el auto de 1 de diciembre de 2020, mientras que en el parte de asistencia de 1 de noviembre refirió un único episodio de violencia, en la denuncia de 16 de noviembre habría aducido hasta dos incidentes más. En la mencionada resolución judicial se aprecian además motivos espurios en la actuación de doña O.V.R., al haber alegado el investigado la existencia de mensajes de los que podría deducirse la intención de la demandante de amparo de accionar la vía penal si don J.V.O., no aceptaba el traslado y la escolarización del menor en 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4 de diciembre de 2020, el jefe territorial de la conselleria gallega supra mencionada acordó suspender la tramitación de la solicitud de escolarización en virtud del contenido del auto de 1 de diciembre de 2020 del Juzgado de Violencia sobre la Mujer núm. 1 de 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Doña O.V.R., interpuso recurso de alzada contra la mencionada resolución, siendo el mismo parcialmente estimado por resolución de 10 de febrero de 2021. El secretario general técnico de la Conselleria concluyó que, aun no siendo en ese momento posible justificar la escolarización por violencia de género al faltar resolución judicial que así lo permitiera, de la documentación aportada por la ahora recurrente en amparo se deducía que tanto ella como su hijo menor estaban empadronados en A Coruña, ciudad donde doña O.V.R., se encontraba además trabajando. Se resolvió de este modo, en interés superior del menor, la escolarización cautelar de E.V.V., en el centro solicitado por doña O.V.R.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Recibido parte de asistencia, por auto de 21 de diciembre de 2020, el Juzgado de Violencia sobre la Mujer núm. 1 de Vitoria-Gasteiz se declaró competente para instruir la causa en la que constaba doña O.V.R., como víctima, acordando incoar las correspondientes diligencias, procedimiento abreviado núm. 748-2020, y citar a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29 de junio de 2021, don J.V.O., interpuso demanda de divorcio contencioso ante el Juzgado de Violencia sobre la Mujer de Vitoria-Gasteiz, solicitando medidas provisionales con fundamento en el traslado de doña O.V.R., y su hijo común a la ciudad de A Coruña. Alegó entonces don J.V.O., que la ahora recurrente en amparo interpuso la correspondiente denuncia penal contra su persona una vez tuvo conocimiento de la solicitud de medidas urgentes de protección y provisionales previas (admitidas por decretos de 23 y 24 de noviembre de 2020, respectivamente) que fueron archivadas por el Juzgado de Primera Instancia núm. 8 de Vitoria-Gasteiz en aplicación del art. 6.2 de la Ley 15/2015, de 2 de julio, de la jurisdicción voluntaria. Por su parte, negó además que la salida del hijo común con doña O.V.R., del País Vasco y su empadronamiento y escolarización en Galicia tuvieran lugar bajo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dichos argumentos, don J.V.O., solicitó que se estableciera que el domicilio del menor se encontraba en Vitoria-Gasteiz, ordenándose de inmediato su traslado a dicha ciudad; que se acordara la prohibición de la salida del menor del territorio nacional; la revocación de todos los poderes y consentimientos; la disolución de la sociedad de gananciales; la fijación de la patria potestad compartida; el otorgamiento en exclusiva de la guarda y custodia a ejercer en el domicilio familiar; y un régimen de visitas de la madre no custodia a desarrollar en la ciudad de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decreto de 1 de julio de 2021, el Juzgado de Violencia sobre la Mujer de Vitoria-Gasteiz acordó admitir a trámite la demanda de divorcio y formar pieza de medidas provisionales con el núm. 12-2021.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del Juzgado de Violencia sobre la Mujer de Vitoria-Gasteiz de la misma fecha, 1 de julio de 2021, se fijó el 22 de julio para la celebración de la vista para la adopción de las medidas provisionales que están en el origen de esta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julio de 2021, doña O.V.R., solicitó al Juzgado de Violencia sobre la Mujer de Vitoria-Gasteiz que se emitiera informe de especialistas a los efectos de determinar cuál de los dos progenitores era el más idóneo para ostentar la guarda y custodia del menor, cuál era el régimen de visitas más oportuno y la conveniencia de establecer un punto de encuentro a la vista de las circunstancias concretas del caso. La solicitud del informe de valoración del equipo técnico adscrito al juzgado fue rechazada por providencia de ese mismo día 14 de julio de 2021 por tratarse de un procedimiento provisional y urgente, indicando el juzgado el deber de doña O.V.R., de reiterar dicha petición en el procedimiento principal en el momento procesal oportuno. Con fundamento en igual razón sustentó el Juzgado de Violencia sobre la Mujer de Vitoria-Gasteiz su providencia de 16 de julio de 2021, por la que denegó las testificales cuya práctica solicitó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audiencia celebrada el 22 de julio de 2021 doña O.V.R., mostrándose conforme con la patria potestad compartida y la petición de que el menor no pudiera salir del territorio nacional, solicitó el reconocimiento a su favor de la guarda y custodia de E.V.V., el desarrollo de un régimen de visitas con el padre no custodio en el lugar más cercano al menor y la aprobación judicial de su empadronamiento y escolarización en A Coruña. El Ministerio Fiscal informó en el sentido de atribuir la guarda y custodia a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auto 81/2021, de 30 de julio, el Juzgado de Violencia sobre la Mujer núm. 1 de Vitoria-Gasteiz estimó parcialmente la demanda de medidas provisionales, tramitadas en pieza separada 12-2021, presentada por don J.V.O., acordando la separación provisional de los cónyuges, el reconocimiento de la guarda y custodia del hijo menor a doña O.V.R., y de la patria potestad a ambos progenitores, el régimen de visitas y la pensión de alimentos y la prohibición de la salida del menor del territorio nacional sin autorización de ambos progenitores o, en su caso, autorización judicial. De conformidad con la referida resolución judicial, la guarda y custodia del menor, atribuida a doña O.V.R., “deberá ejercerse en la ciudad de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sustentó su fallo, según el tenor literal de su resolución, en el carácter provisional de las medidas adoptadas, en la ausencia de informes periciales sobre las capacidades parentales de los progenitores y en la debida observancia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al deber de ejercicio de la guarda y custodia en la ciudad de Vitoria-Gasteiz respecta, el juzgado advierte que aunque doña O.V.R., justifica su traslado por entender que A Coruña “es el lugar donde mejor se salvaguarda el interés del menor por su seguridad y estabilidad respecto del domicilio anterior donde se produjeron [los] hechos que motivan la presente causa”, tratando así “de alejar al menor de un entorno de violencia, después de haber sufrido […] un episodio de agresión grave el 1 de noviembre y uno de amenazas”, la demandante de amparo “se marchó cuatro días después de que dicen [sic] ocurrieron los hechos, y no se ha acreditado que se haya dictado ninguna medida de protección ni respecto de la madre ni del menor, y el hecho de marcharse unilateralmente de la ciudad ha supuesto apartar a este menor de su entorno conocido y familiar, lejos del ambiente donde se ha criado el menor, […] sin autorización judicial ni el consentimiento del padre, pudiendo haber cambiado, por las mismas razones alegadas, de domicilio en esta misma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aunque reconociendo el derecho de los españoles a elegir libremente su lugar de residencia ex art. 19 CE, y con fundamento en la jurisprudencia del Tribunal Supremo sobre la materia, el juzgado considera que “el problema no es este”, sino que “el problema se suscita sobre la procedencia o improcedencia de llevar al menor a residir en otro lugar, lo que puede comportar un cambio radical tanto de su entorno social como parental; uno de los progenitores, con ejercicio conjunto de la patria potestad sobre los hijos, no tiene la facultad de decidir un traslado de residencia del menor que aparte al mismo de su entorno habitual, por corresponder tal facultad a ambos progenitores, necesitando para ello el progenitor del previo consentimiento del otro o, en su defecto, de la supletoria autorización judicial […]. El que uno de los progenitores quiera marcharse a residir a otra ciudad no arrastra con ello el derecho a llevarse a los hijos comunes consigo”.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visitas entre el hijo menor y el padre no custodio, el juzgado comienza recordando que el llamado derecho de visitas es “un complejo de derecho-deber o derecho-función, cuyo adecuado cumplimiento tiene por finalidad no satisfacer los deseos o derechos de los progenitores […] sino cubrir las necesidades afectivas y educacionales de los menores en aras a un desarrollo equilibrado de los mismos. […] tal derecho puede encuadrarse entre los de la personalidad y se fundamenta principal, aunque no exclusivamente, en una previa relación jurídico familiar entre visitantes y visitado. Su finalidad no es otra que fomentar las relaciones humanas paternas o materno-filiales y mantener latente la corriente afectiva padres-hijos, pese a la separación o el divorcio, procurando que a los niños no les afecte gravemente la separación de los padres”. Consecuentemente, el auto de medidas provisionales fijó un régimen de visitas a desarrollar en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fijó que los encuentros del menor con el progenitor no custodio tendrían lugar los miércoles desde las 16:00 horas hasta las 20:00 horas y fines de semana alternos desde el viernes a las 16:00 horas hasta el domingo a las 20:00 horas. Para las vacaciones, “teniendo en cuenta que el padre no ha tenido relación con el menor desde el mes de noviembre de 2020, durante el mes de agosto de 2021, se establecen unas visitas semanales para cada uno de los progenitores”, debiéndose realizar las entregas y recogidas del menor en el punto de encuentro familiar y siendo la madre la encargada de llevarle a Vitoria-Gasteiz cuando correspondan las visitas con 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27 de septiembre de 2021, doña O.V.R., interpuso incidente de nulidad de actuaciones ex arts. 241 de la Ley Orgánica del Poder Judicial (LOPJ) y 228 LEC contra el auto de medidas provisionales de 30 de julio, alegando vulneración del art. 24.1 CE, en su vertiente de derecho a una resolución motivada y fundada en Derecho. Por un lado, la vulneración denunciada se sustenta en una apreciada falta de valoración de las nuevas circunstancias del menor en orden a ponderar su interés superior ex art. 39 CE, a saber, su integración en la ciudad de A Coruña, lugar de residencia de los abuelos maternos, donde convive con doña O.V.R., y se encuentra empadronado y escolarizado. Por otro, la infracción del art. 24.1 CE se conecta con una injustificada restricción del art. 19 CE, entendiendo la recurrente que al obligar al ejercicio de la guarda y custodia en la ciudad de Vitoria-Gasteiz se adopta una decisión judicial que impone, de facto, una restricción no motivada de su libertad de circulación y residencia. Para la ahora demandante de amparo, en el auto controvertido no se ponderan las razones que, en interés superior del menor, justifican el traslado a Vitoria-Gasteiz, ni se identifican los riesgos o perjuicios que se derivan de su residencia en 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respuesta a la solicitud de aclaración de don J.V.O., con fecha 15 de octubre de 2021, el Juzgado de Violencia sobre la Mujer de Vitoria-Gasteiz subsanó las omisiones del auto núm. 81/2021 especificando, por un lado, el deber de ambos progenitores de facilitar la comunicación con el padre o la madre, según correspondiera, aquellos días en los que el menor no se encontrara en su compañía y, por otro, que el lugar de entrega y recogida del menor los miércoles y viernes sería el centro escolar o, en su caso, el punto de encuentro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O.V.R., instó, a su vez, aclaración del auto de 15 de octubre de 2021, siendo la misma denegada el siguiente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Por auto de 17 de diciembre de 2021, el Juzgado de Violencia sobre la Mujer de Vitoria-Gasteiz desestimó el incidente de nulidad de actuaciones interpuesto por doña O.V.R., contra el auto núm. 81/2021, condenando a la parte solicitante al pago de todas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fundamento de Derecho segundo del referido auto, “[e]l hecho de que la decisión en cuanto al fondo no sea del agrado de la parte recurrente no significa que la juzgadora no haya motivado su decisión. La misma se encuentra suficientemente motivada cuando refiere que, a su juicio, el entorno social y parental de la menor se encuentra en Vitoria y que no existen motivos para el cambio de residencia [y que] corresponde a ambos progenitores, como titulares de la patria potestad, la facultad de decidir el posible cambio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representación procesal de doña O.V.R., solicitó aclaración del auto de 17 de diciembre de 2021 por entender que, al desestimar la anulación, el Juzgado de Violencia sobre la Mujer de Vitoria-Gasteiz no se pronunció sobre la afectación de su libertad de circulación y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desestimada por auto de 2 de febrero de 2022 al considerar el juzgado que la resolución respecto de la cual se solicitaba la aclaración incluía “de forma detallada los motivos por los que se considera que no se ha incurrido en causa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considera que el auto 81/2021, de 30 de julio, por el que el Juzgado de Violencia sobre la Mujer núm. 1 de Vitoria-Gasteiz estimó parcialmente la demanda de medidas provisionales (12/2021, presentada por don J.V.O., vulnera el art. 24.1 CE en su vertiente de derecho a una resolución judicial motivada y fundada en Derecho, en conexión con el principio del interés superior del menor (art. 39 CE) y con el derecho a la libertad de circulación y residencia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para doña O.V.R., el auto de medidas provisionales, que resuelve el ejercicio de la custodia del hijo común con don J.V.O., en la ciudad de Vitoria-Gasteiz (lugar de la residencia familiar hasta el 5 de noviembre de 2020, cuando la demandante de amparo se traslada a la ciudad de A Coruña), no ponderó la nueva situación del menor, a saber, su integración en la nueva ciudad de residencia donde se encuentra empadronado y escolarizado, conviviendo con su madre y en el entorno de la familia de esta. Para la ahora demandante de amparo, el auto recurrido no tuvo en cuenta las razones que justificaron, en beneficio del menor, su traslado desde Vitoria, siendo su nuevo entorno más seguro y encontrándose ya su hijo escolarizado en Galicia. Por otro lado, para la recurrente en amparo, el auto 81/2021 restringe inmotivadamente su derecho a la libertad de circulación y residencia, eludiendo la resolución controvertida cualquier argumento sobre el que sustentar el regreso a la ciudad de Vitoria-Gasteiz, máxime cuando “el motivo de la ruptura de la relación se produce por sucesos graves de trascendencia penal”. En opinión de la ahora demandante de amparo, la resolución objeto del presente recurso no identifica los beneficios ni los perjuicios que podrían repercutir en la situación del menor el regreso a la ciudad de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56 de la Ley Orgánica del Tribunal Constitucional (LOTC) y por primer otrosí digo, doña O.V.R., interesó la suspensión del auto 81/2021, de 30 de julio, del Juzgado de Violencia sobre la Mujer de Vitoria-Gasteiz. Y ello por entender que el traslado de su residencia a la ciudad de Vitoria-Gasteiz afectaría a la seguridad, estabilidad y tranquilidad adquiridas por el menor y la madre en su nuevo entorno, obligando a esta a asumir una pena no escrita, la de soportar la cercanía de su agresor. Para doña O.V.R., tanto ella como su hijo menor vivían en un entorno seguro desde el 5 de noviembre de 2020, resultando “extraordinario” que se le obligara a regresar e instalarse en la ciudad donde reside su agresor.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mediante providencia de 10 de octubre de 2022, acordó admitir a trámite el recurso de amparo apreciando que concurre en el mismo especial trascendencia constitucional (art. 50.1 LOTC) al plantear un problema o afectar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al Juzgado de Violencia sobre la Mujer núm. 1 de Vitoria-Gasteiz a fin de que, en plazo no superior a diez días, remitiera certificación o fotocopia adverada de las actuaciones correspondientes al procedimiento de medidas provisionales 12-2021-P, debiendo emplazar previamente a quienes hubieran sido parte, excepto la recurrente en amparo, para que en el plazo de diez días pudieran comparecer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10 de octubre de 2022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1 de febrero de 2023 en el registro de este tribunal, don J.V.O., interesó la denegación de la suspensión solicitada por pérdida sobrevenida de objeto, al haber dictado el Juzgado de Violencia sobre la Mujer de Vitoria-Gasteiz sentencia definitiva, núm. 2/2023, de 23 de enero, en el procedimiento de divorcio contencioso núm. 102-2021. A la solicitud de desestimación de la suspensión de pérdida de objeto, doña O.V.R., opuso la pendencia de otros procedimientos instados en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del Tribunal Constitucional de 11 de noviembre de 2022, se acordó tener por personada y parte en el procedimiento a la procuradora doña Isabel Gómez Pérez de Mendiola, en nombre y representación de don J.V.O., y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J.V.O., formuló alegaciones por escrito registrado el 12 de diciembre de 2022. Adujo que doña O.V.R., sacó abruptamente al hijo común de su entorno no solo sin el consentimiento de su padre, sino sin tener en cuenta los propios intereses y deseos del menor. Esta parte alegó que el derecho a la libertad de circulación y residencia ex art. 19 CE debe ejercerse de buena fe, sin entorpecer el ejercicio de otros derechos y cediendo “ante derechos a los que la ley atribuya mayor rango o protección”. Para don J.V.O., con su recurso de amparo la demandante pretende consolidar una situación que nace de una grave y unilateral vulneración de derechos, resultando el auto de 30 de julio de 2021 suficientemente motivado al explicar por qué la situación impuesta unilateralmente por doña O.V.R., es contraria al interés del menor y que este se protege reintegrándolo en su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de 14 de diciembre de 2022, doña O.V.R., reiteró, en esencia, los argumentos en que fundamentó su recurso de amparo, a saber, la vulneración del art. 24.1 CE con motivo de la falta de ponderación de la nueva situación del menor y, en conexión con su libertad de circulación y residencia, por no identificar los beneficios que reporta al menor su reintegración en Vitoria-Gasteiz ni, sensu contrario, los perjuicios que se derivarían de su permanencia en A Coruña. En su escrito, doña O.V.R., aduce que el órgano judicial debería haber tenido en cuenta su condición de víctima de violencia de género, recordando que el temor y miedo de las víctimas no depende de la existencia o no de una orden de protección. Para doña O.V.R., la edad del menor y su nuevo entorno escolar, residencial, social y familiar debieron ser objeto de un examen eficaz, en el que además tendría que haberse considerado el deber de protección del menor frente a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sus alegaciones el día 21 de diciembre de 2022 en el registro de este tribunal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constitucional sobre el interés superior del menor y el deber de motivación reforzada de las resoluciones judiciales en conexión con el mandato del art. 39 CE, el fiscal interesó el otorgamiento a doña O.V.R., del amparo solicitado, el restablecimiento en sus derechos y la consecuente anulación del auto 81/2021 del Juzgado de Violencia sobre la Mujer núm. 1 de Vitoria-Gasteiz. Advierte la Fiscalía que el auto controvertido desconoce las alegaciones de doña O.V.R., sobre la existencia de violencia. Y ello a pesar de que la resolución impugnada no solo admite que la agresión fue denunciada, sino que acuerda que, en cumplimiento del régimen de visitas a favor del progenitor no custodio, las entregas del menor se realicen a través del punto de encuentro familiar, lo que en opinión de la Fiscalía supone reconocer la existencia de una situación grave de conflicto. Para el fiscal, el juzgado no ponderó elementos determinantes para su decisión, esto es, la existencia de un episodio de violencia de género, cuando el Ministerio Fiscal ya había formulado escrito de acusación. Se advierte, además, la inobservancia del art. 94 CC, en su redacción dada por la Ley 8/2021, de 2 de junio, por las resoluciones judiciales posteriores que confirmaron la impugnada. Finalmente, para la Fiscalía, el auto núm. 81/2021 no solo condiciona, sino que “anula la libertad de elección de residencia” de doña O.V.R., al impedirle optar por mantener su domicilio en Galicia e imponerle, sin cobertura legal de ningún tipo, el traslado al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del secretario de justicia de la Sala Segunda del Tribunal Constitucional de 18 de enero de 2023, y en virtud de lo acordado por el Pleno del Tribunal Constitucional el día 17 de enero de 2023, publicado en el “BOE” de 19 de enero, el presente recurso de amparo fue turnado a la Sala Segunda del Tribunal Constitucional,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el auto núm. 81/2021, de 30 de julio, dictado en los autos de medidas provisionales 12/2021 por el Juzgado de Violencia sobre la Mujer núm. 1 de Vitoria-Gasteiz, aclarado por auto de 15 de octubre del mismo año y contra el que se interpuso incidente de nulidad de actuaciones, desestimado el 17 de diciembre de 2021 y respecto del que se solicitó aclaración, rechazada el 2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el auto núm. 81/2021 vulnera su derecho a la tutela judicial efectiva, en la faceta de derecho a una resolución judicial motivada y fundada en Derecho (art. 24.1 CE), en conexión con el principio del interés superior del menor (art. 39 CE) y con su derecho a la libertad de circulación y residencia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sentencia, doña O.V.R., defiende que el auto impugnado, por el que se le impuso con carácter provisional el ejercicio de la guarda y custodia del hijo menor que tiene en común con don J.V.O., en la ciudad de Vitoria-Gasteiz, conculca su derecho a la tutela judicial efectiva al no haber ponderado suficientemente, a efectos de la salvaguarda del interés superior del menor, la situación de integración de su hijo en su nueva ciudad de residencia, que es la de sus abuelos maternos y donde se encuentra empadronado y escolarizado. En su escrito de alegaciones, doña O.V.R., aduce que el regreso a Vitoria-Gasteiz, de donde dice haber huido con motivo de un episodio de violencia de género, supondría despojarle a ella y a su hijo de un nuevo entorno social y familiar tranquilo y estable, sometiéndola a la pena no escrita de soportar la cercanía de su agresor. En opinión de la ahora demandante de amparo, la resolución objeto de esta sentencia habría además vulnerado el art. 24.1 CE en conexión con el art. 19 CE, al no identificar el juzgado los beneficios que reporta al menor el regreso a la ciudad de Vitoria-Gasteiz o, por el contrario, los perjuicios que se derivarían del mantenimiento de su nueva residencia en A Coruña, dejando de este modo a su resolución huérfana de todo argumento que fundamente lo que considera una restricción, por la vía de los hechos, de su libertad de circulación y residencia. Por tanto, las quejas de doña O.V.R., se circunscriben en exclusiva al deber de ejercicio de la guarda y custodia del hijo menor que tiene en común con don J.V.O., en Vitoria-Gasteiz, no pudiendo deducir del tenor de la demanda de amparo reproche alguno dirigido contra los demás extremos sobre los que se pronuncia el auto de 30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sus alegaciones, la representación procesal de don J.V.O., arguye que doña O.V.R., sacó al menor abruptamente, y sin cobertura legal, de su entorno habitual sin tener para ello el consentimiento paterno ni haber considerado los intereses y deseos de su hijo, tratando de consolidar, con su recurso de amparo, una situación que nace de una grave y unilateral vulneración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solicitando el restablecimiento de doña O.V.R., en sus derechos y la consecuente anulación del auto 81/2021 del Juzgado de Violencia sobre la Mujer de Vitoria-Gasteiz. Para la Fiscalía, el auto controvertido desconoció las alegaciones de doña O.V.R., sobre la existencia de violencia de género, incurriendo de este modo en una vulneración del art. 24.1 CE que, en conexión con el art. 19 CE, habría sido igualmente conculcado con motivo de la imposición de un deber, carente de respaldo legal, de traslado a la ciudad de Vitoria-Gasteiz para el ejercicio de la guarda y custodia de su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(“BOE”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Canon de enjuiciamiento. El deber de motivación reforzada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(SSTC 132/2007, de 4 de junio, FJ 4, y 115/2024, de 23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canon de motivación ex art. 24.1 CE es además reforzado cuando las resoluciones afectan o inciden sobre los valores superiores del ordenamiento constitucional o derechos fundamentales sustantivos. Como hemos recordado en reciente jurisprudencia,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La obligación de motivación exige aquí la exteriorización del “nexo de coherencia entre la decisión adoptada, la norma que le sirve de fundamento y los fines que justifican la institución”, no teniendo así cabida “una motivación estereotipada” [SSTC 113/2021, de 31 de mayo, FJ 2 a) (ii), y 115/2024, de 23 de septiembre, FJ 2, y las sentencias en las mismas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nos ocupa este deber de motivación reforzada es múltiple, pues este canon lo hemos exigido en asuntos relacionados con el principio del interés superior del menor por cuanto tiene su proyección constitucional en el art. 39 CE y se define como rector e inspirador de todas las actuaciones de los poderes públicos, tanto administrativas como judiciales (STC 53/2024, de 8 de abril, FJ 3), pero también cuando se ha alegado la afectación del derecho fundamental a la no discriminación por razón de sexo del art. 14 CE (STC 173/2013, de 10 de octubre, FJ 3) y, consecuentemente (STC 48/2024, de 8 de abril, FJ 5), en contextos de violencia contra la mujer (STC 115/2024, de 23 de septiembre, FFJJ 3 y 4). El auto objeto del amparo que ahora resolvemos podría, además, afectar el derecho de libertad de circulación y residencia de la demandante, siendo este, en su caso, también argumento suficiente para exigir una motivación reforzada que obligue al órgano judicial a tener en consideración todos los derechos en 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deber de motivación judicial reforzada por afectación del interés superior del menor. Regímenes de guarda, custodia y visitas en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STC 53/2024, de 8 de abril, FJ 3, es doctrina consolidada de este tribunal el deber de todos los poderes públicos de atender “de un modo preferente la situación del menor de edad, observando y haciendo observar el estatuto del menor como norma de orden público […] incluso si ello significa atemperar la rigidez de algunas normas procesales o sacrificar los legítimos intereses y perspectivas de terceros”. El interés superior del menor es, “considerado en abstracto, un bien constitucional suficientemente relevante para motivar la adopción de medidas legales que restrinjan derechos y principios constitucionales”. Pero la decisión de lo que sea en cada caso más beneficioso para el interés general del menor “corresponde tomarla a los jueces y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superior del menor es la consideración primordial a la que deben atender todas las medidas concernientes a los menores que tomen las instituciones públicas o privadas de bienestar social, los tribunales, las autoridades administrativas o los órganos legislativos” (por todas, STC 126/2024, de 21 de octubre, FJ 2). Y aunque compete a este tribunal examinar si la motivación ofrecida “para adoptar cuantas medidas conciernen a los menores, está sustentada en su mayor beneficio y así comprobar que no se han lesionado sus derechos fundamentales”, es a los órganos judiciales a quienes corresponde delimitar el contenido del interés superior del menor en cada caso ofreciendo para ello, dada la afectación de un principio superior de nuestro ordenamiento, una motivación reforzada (SSTC 141/2000, de 29 de mayo, FJ 5; 217/2009, de 14 de diciembre, FJ 5; 127/2013, de 3 de junio, FJ 6, y 138/2014, de 8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Motivar “debidamente las resoluciones en las que están concernidos los intereses y derechos de los menores (art. 39 CE), significa explicitar el juicio de ponderación entre los valores y derechos en liza para hacer así efectiva la exigencia de proporcionalidad inherente a la justicia” (entre otras, SSTC 178/2020, de 14 de diciembre, FJ 3; 2/2024, de 15 de enero, FJ 2, y 53/2024, de 8 de abril, FJ 3), encontrándonos en estos casos “ante un juicio de ponderación que debe constar expresamente en la resolución judicial, identificando los bienes y derechos en juego que pugnan de cada lado, a fin de poder calibrar la necesidad y proporcionalidad de la medida adoptada” (STC 176/2008, de 22 de diciembre, FJ 6). Una pluralidad de bienes y derechos que siempre habrán de tener presentes los órganos judiciales en sus decisiones sobre los regímenes de guarda y custodia, en las que el interés superior del menor ha de operar como contrapeso de los derechos de cada progenitor (SSTC 106/2022, de 13 de septiembre, FJ 2, y 176/2008, de 22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consolidada que, cuando está en juego el interés de los menores, sus derechos exceden del ámbito estrictamente privado y pasan a tener una consideración más cercana a los elementos de ius cogens (SSTC 106/2022, de 13 de septiembre, FJ 2, y 185/2012, de 17 de octubre, FJ 4). Es en este sentido que hemos afirmado que en la atribución y ejecución de los regímenes de guarda, custodia y visitas el interés superior del menor ha de operar como contrapeso de los derechos de cada progenitor (SSTC 106/2022, de 13 de septiembre, FJ 2, y 176/2008, de 22 de diciembre, FJ 6). Y ello se predica tanto de la toma de decisiones provisionales, en el marco de la adopción de medidas cautelares, como en la adopción de decisiones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el deber de motivación reforzada que impone el art. 24.1 CE a aquellas decisiones que afectan o inciden en el interés superior del menor se proyecta, lógicamente, sobre las resoluciones judiciales, provisionales o definitivas, de atribución y ejecución de los regímenes de guarda, custodia y visitas. En estos casos, los jueces y tribunales deben hacer constar expresamente en sus resoluciones la ponderación de todos los bienes y derechos en juego, teniendo siempre presente el interés superior del menor, en cuya identificación habrán de tener en cuenta, entre otros aspectos, su deber de prevenir y protegerle contra la violencia, sea el o la menor víctima presencial o instrumental. Así lo impone el art. 2 de la Ley Orgánica 1/1996, de 15 de enero, de protección jurídica del menor, en virtud de cuyo apartado 2 c), a efectos de la interpretación y aplicación en cada caso del interés superior del menor, nuestros órganos jurisdiccionales han de tener presente la conveniencia de que la vida y desarrollo de los y las menores “tenga lugar en un entorno familiar adecuado y libre de violencia”. Deber de protección y prevención que se predica frente a los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recordado en esta sentencia, el canon reforzado de motivación ex art. 24.1 CE es exigido por este tribunal cuando el derecho afectado es el derecho a la igualdad y la no discriminación. Y el auto objeto del recurso de amparo que ahora resolvemos afecta al derecho a la igualdad y a la prohibición de discriminación por razón de sexo desde el momento en que la razón que arguye la recurrente como motivo del cambio de residencia junto con su hijo menor es su condición de víctima de violencia machista. Y “los delitos relacionados con la violencia de género […] constituye[n] la forma más grave de discriminación contra la mujer” (STC 48/2024, de 8 de abril, FJ 5). Se requería por ello en este caso que el órgano judicial autor de la resolución recurrida evidenciara que la decisión adoptada, que suponía el deber de doña O.V.R., de ejercer la guarda y custodia de su hijo menor en la ciudad de residencia de su presunto maltratador, tuvo en cuenta los indicios de violencia de género (STC 115/2024, de 23 de septiembre, FJ 3, y 145/2024, de 2 de diciembre, FJ 4). Indicios que también se proyectan a la seguridad y bienestar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declaramos en las sentencias de esta Sala SSTC 115/2024, de 23 de septiembre, FJ 3, y 145/2024, de 2 de diciembre, FJ 4, en sus resoluciones sobre regímenes de guarda, custodia y visitas, los órganos judiciales deben tener en cuenta los incidentes de violencia de género. Un deber que, asumido por el vigente art. 94 CC y por la Ley del Parlamento Vasco 7/2015, de 30 de junio, de relaciones familiares en supuestos de separación o ruptura de los progenitores, es contrario a la práctica de equiparar el interés superior del menor “con mantener el contacto con ambos progenitores, independientemente de que su padre sea un maltratador —o presunto maltratador— y de la exposición del niño a la violencia”. Por tanto, la exposición a la violencia de género es un elemento a considerar en la definición judicial del interés superior del menor cuando se trata de resolver sobre la fijación y ejecución de las medidas paternofiliales.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apuntado en fundamentos previos, el art. 2.2 de la Ley Orgánica 1/1996, de 15 de enero, de protección jurídica del menor, incorpora, como criterio para la delimitación del interés superior del menor, la conveniencia de que su vida y desarrollo tengan lugar en un ambiente familiar adecuado y libre de violencia. Asimismo, la Ley Orgánica 1/2004, de 28 de diciembre, de medidas de protección integral contra la violencia de género, en sus arts. 1, 61 y 65, reconoce a los menores como víctimas directas de violencia de género e incide en la obligación de los jueces de pronunciarse sobre las medidas que afectan a los menores que dependen de la mujer sobre la que se ejerce violencia. Y a todo ello debemos añadir que en nuestra STC 106/2022, de 13 de septiembre, en la que declaramos constitucional la modificación del también referido art. 94 CC operada por la Ley 8/2021, de 2 de junio, que prescribió la suspensión (o, en su caso, el no establecimiento) del régimen de estancias, visitas y/o comunicación respecto del progenitor incurso en un proceso penal iniciado por violencia, ya advertimos (FJ 4) que la autoridad judicial competente habrá de valorar si de las declaraciones de las partes y de las pruebas practicadas puede concluirse “la existencia de indicios fundados de violencia doméstica o de género, en la que se comprende también ‘la violencia que con el objetivo de causar perjuicio o daño a las mujeres se ejerza sobre sus familiares o allegados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Concluyendo, en las decisiones sobre los regímenes de guarda, custodia y visitas, provisionales o definitivas, los órganos judiciales tienen un deber de motivación reforzada para cuyo cumplimiento habrán de tener en cuenta los indicios de violencia de género. Nuestros jueces y tribunales no pueden así asumir que el interés superior del menor es equivalente a mantener relaciones con ambos progenitores, ni promover la perpetuación de funciones estereotipadas tradicionalmente atribuidas a las mujeres, obviando con ello las dinámicas de sometimiento inherentes a la violencia de género (SSTC 115/2024, de 23 de septiembre, FFJJ 2 y 3, y 145/2024, de 2 de diciembre, FJ 5). Y este deber de consideración de las dinámicas inherentes a la violencia de género supone también una obligación de prevención y protección contra la violencia de los hijos e hijas de las mujeres víctimas de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interés superior del menor como elemento de modulación de la libertad de circulación y residencia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cambio de domicilio de los hijos y de las hijas menores es una decisión que, por regla, atendiendo a su trascendencia para la vida de los y las menores, corresponde en conjunto a ambos progenitores. El apartamiento del menor de su entorno habitual y la consecuente afectación del derecho de relacionarse con el progenitor no custodio explican que la decisión sobre el cambio de residencia de los hijos y las hijas menores requiera del consentimiento de ambos progenitores o, en su caso, de autorización judicial, debiendo en este último caso el juez competente ponderar los derechos e intereses en juego para garantizar la necesidad y proporcionalidad de, en su caso, el cambio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nuestra STC 60/2010, de 7 de octubre, FJ 8, la obligación de residir en un lugar determinado (STC 260/2007, de 20 de diciembre, FJ 5) afecta necesariamente al art. 19 de nuestra Constitución. Y junto a esa obligación de residir en lugar determinado, que en la STC 260/2007, estaba circunscrita al caso de medidas cautelares en procedimientos sancionadores relativos a la expulsión de personas extranjeras, este tribunal ha considerado que también queda afectada la libertad de circulación y residencia, entre otros, en supuestos concernientes a la obligación de comparecer periódicamente ante el juzgado (STC 85/1989, de 10 de mayo, FJ 3), la imposición de la pena de prohibición de aproximarse a la víctima [STC 60/2010, de 7 de octubre, FJ 8 a)] o la extradición pasiva de un nacional español (STC 205/2012, de 12 de noviembre, FJ 4), llegando incluso a afirmar en esta sede, aunque bajo circunstancias muy concretas, que podrá apreciarse una vulneración del art. 19 CE cuando un acuerdo del poder público impida “que el ciudadano opte por mantener su residencia en donde ya la tenga, o por trasladarla a un lugar distinto” (STC 186/2013, de 4 de noviembre, FJ 6, en remisión a la STC 90/1989, de 11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de este modo concluir que la imposición del lugar de residencia puede efectivamente afectar el art. 19 CE, dando incluso lugar a la apreciación de su vulneración si no se deja opción para el mantenimiento o traslado del domicilio. Por ello, conforme a nuestra jurisprudencia sobre las resoluciones judiciales que afectan derechos sustantivos y principios superiores de nuestro ordenamiento ex art. 24.1 CE, tal medida debe ser objeto de motivación reforzada. Un canon que será de este modo también el aplicable en aquellos casos en los que la afectación de las libertades de circulación y de residencia tenga origen, como en este caso, en la atribución y ejecución judicial de los regímenes de guarda, custodia y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de la jurisprudencia constitucional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el canon de enjuiciamiento, debemos ahora analizar la decisión impugnada bajo el parámetro constitucional sentado en los anteriores fundamentos jurídicos. Y a tales efectos debe recordarse aquí que es objeto del recurso de amparo que ahora resolvemos el auto 81/2021, de 30 de julio, por el que el Juzgado de Violencia sobre la Mujer núm. 1 de Vitoria-Gasteiz atribuyó en exclusiva a doña O.V.R., la guarda y custodia del hijo menor que tenía en común con don J.V.O., imponiéndole su ejercicio en Vitoria-Gasteiz, de donde la ahora demandante de amparo alega haber huido por razones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Violencia sobre la Mujer de Vitoria-Gasteiz fundamentó su auto, dictado en pieza de medidas provisionales núm. 12-2021, en la naturaleza cautelar de la resolución, en la inexistencia de informes periciales sobre las capacidades parentales de los progenitores y en la aplicación del principio del interés superior del menor, atendiendo, a este último respecto, a la inexistencia de medidas de protección y al carácter unilateral y la falta de sustento legal de la decisión del cambio de residencia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advierte que doña O.V.R., justificó su traslado por entender que al cambiar el domicilio de su hijo menor estaba salvaguardando su interés superior al proporcionarle un entorno seguro y estable. Sin embargo, partiendo de que la ahora demandante de amparo se marchó cuatro días después de que, según lo denunciado, tuvieran lugar los hechos presuntamente constitutivos de delito, el auto controvertido pone de relieve la inexistencia de medidas de protección y el hecho de que el traslado unilateral supuso apartar al menor de donde nació, residió y estuvo escolarizado hasta el momento del traslado. Entiende, además, que doña O.V.R., podría haber cambiado de domicilio en Vitoria-Gasteiz, concluyendo a este respecto que “[e]l que uno de los progenitores quiera marcharse a residir a otra ciudad no arrastra con ello el derecho a llevarse a los hijos comunes consigo”.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establecer las medidas provisionales, previas a la sentencia de divorcio en este caso, el Juzgado de Violencia sobre la Mujer núm. 1 de Vitoria-Gasteiz tenía un deber de motivación reforzada dado que: a) con su resolución estaba obligando a un nuevo cambio de domicilio de un menor de corta edad; b) el desplazamiento inicial no consentido del menor venía justificado, según la denuncia planteada por su madre, por la preexistencia de una situación de violencia de género; y c) la obligación del ejercicio de la guarda y custodia en Vitoria-Gasteiz suponía, además, una obligación derivada de cambio de domicilio de la progenitora custodia, ahora demandante de amparo. El mencionado juzgado, en su labor de ponderación, tenía consecuentemente que manejar en su resolución el interés superior del menor como contrapeso de los derechos de los progenitores, sin poder obviar a tales efectos los indicios de violencia de género, ni desconocer la posible afectación de las libertades de circulación y residencia de los progenitores con motivo de la fijación y ejecución de las medidas objeto de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dictarse el auto controvertido, doña O.V.R., y su hijo llevaban más de ocho meses residiendo en A Coruña, donde el menor estaba empadronado y escolarizado, y donde doña O.V.R., se encontraba trabajando y contaba con el apoyo de su familia a efectos de conciliación. Pero frente a las alegaciones de doña O.V.R., relativas a un nuevo contexto social y familiar estable y seguro para ambos, el auto de 30 de julio de 2021 no arguye razón concreta alguna sobre los beneficios para el menor de su regreso a Vitoria-Gasteiz. Más allá de que aquel fue el lugar donde nació y vivió hasta su traslado a Galicia, la resolución judicial objeto del amparo que ahora resolvemos no identifica los perjuicios concretos del ejercicio de la guarda y custodia en A Coruña hasta que se dictara sentencia definitiva de divorcio, ni los beneficios específicos que reportaría al menor su regreso a la ciudad de residencia del padre, frente a quien en ese momento el mismo juzgado había incoado y estaba siguiendo un proceso penal por varios delitos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resoluciones sobre regímenes de guarda, custodia y visitas, sean las mismas definitivas o provisionales, los órganos judiciales deben desarrollar un ejercicio de ponderación en el que, al delimitar el contenido y alcance del interés superior del menor como límite de los derechos y legítimos intereses de los progenitores, tengan presentes los indicios de violencia de género y las dinámicas inherentes a la violencia machista (SSTC 115/2024, de 23 de septiembre, FJ 3, y 145/2024, de 2 de diciembre, FJ 4). Extremos que, como han aducido ante este tribunal tanto doña O.V.R., como la Fiscalía, fueron insuficientemente considerados por el auto 81/2021, de 30 de julio, del Juzgado de Violencia sobre la Mujer de Vitoria-Gasteiz.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único argumento en respuesta a la alegada condición de víctima de violencia de género y a la conveniencia de mantener un entorno más seguro y estable, la resolución recurrida en amparo se refiere a la inexistencia de medidas de protección, soslayando algunos aspectos de especial relevancia a efectos del cumplimiento del mencionado canon reforzado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1 de diciembre de 2020, el Juzgado de Violencia sobre la Mujer núm. 1 de A Coruña denegó la orden de protección solicitada por doña O.V.R. Pero a la hora de valorar la fuerza indiciaria de dicha negativa son varios aspectos los que, en cumplimiento del art. 24.1 CE, el Juzgado de Violencia sobre la Mujer núm. 1 de Vitoria-Gasteiz debía haber ponderado. Debía haber tenido en cuenta que la existencia de una orden de protección no es el único indicio de violencia de género de necesaria consideración, ni su denegación puede entenderse con efectos excluyentes frente a la concurrencia de otras señales de violencia machista. En este sentido, por un lado, cabe recordar ahora que los días 24 y 25 de noviembre de 2020 se emitieron, respectivamente, certificado de la fiscalía provincial de A Coruña de indicios de delito y, por los servicios sociales del ayuntamiento de la misma localidad gallega, informe sobre la condición de víctima de violencia de género de doña O.V.R. Documentos que son considerados como suficientes para acreditar la existencia de indicios en su ámbito de aplicación por la Ley 11/2007, de 27 de julio, gallega para la prevención y el tratamiento integral de la violencia de género [art. 5, apartados c) y e)] y que, sin embargo, no son mencionados ni en el auto que deniega la orden de protección ni en el que constituye el objeto del presente recurso de amparo. Por otro lado, el Juzgado de Violencia sobre la Mujer de Vitoria-Gasteiz asumió la competencia para instruir la causa en la que constaba doña O.V.R., como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la mera alusión a la inexistencia de una orden de protección en el auto controvertido no supera el canon reforzado de motivación que exige el art. 24.1 CE en contextos de violencia de género, mandato que igualmente desatiende el Juzgado de Violencia sobre la Mujer núm. 1 de Vitoria-Gasteiz al incurrir en respuestas basadas en estereotipos de género completamente ajenas al deber de nuestros jueces y tribunales de fundamentar las decisiones que afectan derechos fundamentales sustantivos o valores superiores de nuestro ordenamiento jurídico. Más concretamente, el auto núm. 81/2021, de 30 de julio, afirma que doña O.V.R., denunció cuatro días después de que ocurrieran los hechos presuntamente constitutivos de violencia de género y que podría haberse mudado de residencia en la misma ciudad de origen. De este modo, el auto de 30 de julio de 2021 incurre en una suerte de revictimización de doña O.V.R., al reprocharle una denuncia tardía y el no haber mantenido su domicilio en la misma ciudad en la que se encontraba la residencia de su presunto maltratador, pues no puede desconocer un órgano jurisdiccional, menos aún si se trata de un juzgado de violencia sobre la mujer, el temor que la violencia machista infunde en sus víctimas a la hora de denunciar y tomar decisiones sobre los hijos e hijas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resolución, el Juzgado de Violencia sobre la Mujer núm. 1 de Vitoria-Gasteiz soslayó además la debida consideración de su obligación de proteger de todo riesgo de violencia al hijo de doña O.V.R. En el ejercicio de ponderación de todos los derechos e intereses en liza al que están obligados nuestros órganos judiciales en la atribución y ejecución, provisional y definitiva, de los regímenes de guarda, custodia y visitas, siempre debe estar presente, al definir su interés superior, el deber de prevenir y proteger contra la violencia a los menores. Deber que ignoró el juzgado cuestionado al no motivar expresamente en su resolución las causas concretas que justificaban el ejercicio de la guarda y custodia en Vitoria-Gasteiz y, por tanto, su traslado, y el de su progenitora custodia, a la ciudad donde residía su padre, quien en ese momento era investigado por hechos presuntamente constitutivos de delito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así estimar la invocada lesión del art. 24.1 CE, en conexión con el art. 39 CE, por considerar que el auto recurrido en amparo no ponderó adecuadamente los derechos e intereses en juego al imponer el ejercicio de la guarda y custodia del menor en Vitoria-Gasteiz sin tener en cuenta sus nuevas circunstancias y las dinámicas inherentes a la violencia de género (SSTC 115/2024, de 23 de septiembre, FJ 3, y 145/2024, de 2 de diciembre, FJ 4). Estimación que corresponde también frente a la alegada vulneración del deber de motivación reforzada ex art. 24.1 CE en conexión con el derecho de libertad de circulación y residencia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ya oportunidad de advertir en esta sentencia, en nuestro ordenamiento el cambio de residencia de los hijos y las hijas menores de padres separados o divorciados requiere del previo consentimiento de ambos progenitores o, en su defecto, de previa autorización judicial. Ahora bien, este deber legal puede resultar judicialmente flexibilizado. El interés superior del menor y los derechos de los progenitores ex art. 19 CE pueden excepcionar el deber legal de consentimiento mutuo o, en su defecto, de previa autorización judicial. Y este tribunal puede ya afirmar que la existencia de indicios de violencia de género es un aspecto a ponderar por el juez en aplicación de nuestra legislación civil relativa al traslado de menores, hijos e hijas de padres en proceso de separación y divorcio, pues escapa a toda lógica jurídica exigir a una madre que denuncia ser víctima de violencia de género que pida el consentimiento de su pareja para alejar al menor de un potencial riesgo para su vida e integridad. Pero el Juzgado de Violencia sobre la Mujer núm. 1 de Vitoria-Gasteiz no solo no tuvo en cuenta en su resolución los indicios de violencia de género y su ineludible conexión con el deber de protección del menor, sino que obvió los efectos de su decisión sobre la libertad de circulación y residencia de doña O.V.R. El juzgado de Vitoria-Gasteiz, a la luz de las circunstancias concretas del caso, no motivó suficientemente la imposición de la ejecución de la guarda y custodia del hijo de doña O.V.R., en la ciudad de residencia de su presunto agresor, sin dejar a la ahora demandante de amparo otra alternativa que la de trasladarse a Vitoria-Gasteiz. Dicha decisión se adoptó sin tener en cuenta el potencial riesgo para doña V.O.R., y su hijo y sin identificar los beneficios concretos que reportaría al menor volver a su ciudad de nacimiento desconociendo por ello el juzgado cuestionado su deber de motivación reforzada ex art. 24.1 CE en conexión, no solo con el art. 39 CE, sino también con el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así sino concluir que el Juzgado de Violencia sobre la Mujer núm. 1 de Vitoria-Gasteiz no expresó de forma suficiente en su auto las razones concretas que justificaron su decisión, incumpliendo con ello las exigencias constitucionales de motivación de las resoluciones judiciales en el ámbito del derecho fundamental garantizado por el art. 24.1 CE, en relación con los arts. 39 y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sobre el fondo de este recurso supone, en todo caso, que no resulte procedente resolver sobre la medida cautelar de suspensión solicitada por la demandante, lo que determina que deba acordarse el archivo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denuncia de vulneración del derecho fundamental a la tutela judicial efectiva de la recurrente, en su vertiente del derecho a una resolución judicial motivada y fundada en Derecho (art. 24 CE) en conexión con el principio del interés superior del menor y con la libertad de circulación y residencia (arts. 39 y 19 CE), conlleva la declaración de nulidad del auto núm. 81/2021, de 30 de julio, del Juzgado de Violencia sobre la Mujer núm. 1 de Vitoria-Gasteiz.</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O.V.R.,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 en conexión con el principio del interés superior del menor (art. 39 CE) y la libertad de circulación y residencia (art. 19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del auto núm. 81/2021, de 30 de julio, dictado por el Juzgado de Violencia sobre la Mujer núm. 1 de Vitoria-Gasteiz.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César Tolosa Tribiño y don Enrique Arnaldo Alcubilla a la sentencia dictada por la Sala Segunda en el recurso de amparo núm. 2024-2022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formulamos el presente voto particular al considerar necesario exponer nuestra discrepancia con parte determinante de la argumentación de la sentencia que sustenta el fallo y consiguientemente con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Debemos indicar que el razonamiento de la sentencia vulnera el derecho a la presunción de inocencia de don J.V.O. [arts. 24.2 CE y 6.2 del Convenio europeo de derechos humanos (CEDH) como ha establecido la STEDH de 12 de julio de 2013, asunto Allen c. Reino Unido]. En tal sentido, la argumentación de la sentencia: a) desconoce las consecuencias que se derivan de la existencia de la sentencia absolutoria en relación con don J.V.O., dictada por el Juzgado de lo Penal núm. 1 de Vitoria y que fue confirmada por la Sección de lo Penal de la Audiencia Provincial de Vitoria; b) modifica la acrisolada doctrina constitucional sobre la prueba elevando a la categoría de indicio la denuncia y el atestado, así como la “certificación” expedida por el Ministerio Fiscal; y c) todo ello, tras contravenir la prohibición constitucional de la reconstrucción de la demanda de amparo, al incorporar como fundamento de la misma el derecho a la igualdad y no discriminación que no fue invocado por la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la argumentación de la sentencia contradice el asentado principio civil de ejercicio conjunto de la patria potestad en lo que —entre otros aspectos— se refiere a la determinación del domicilio del hijo común que es desplazado por el derecho a la libre fijación de residencia de la madre (art. 19 CE) aunque ello suponga el sacrificio del interés del niño, en cuanto a su derecho “a mantener de forma periódica relaciones personales y contactos directos con su padre y con su madre, salvo si ello es contrario a sus intereses” [art. 24 de la Carta de los derechos fundamentales de la Unión Europea (CDFUE)]. Debemos adelantar que el ejercicio por el progenitor custodio del derecho a la libre elección de la residencia (art. 19 CE) no comprende la facultad de decidir unilateralmente el domicilio de los hijos comunes.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tercer lugar, realiza una referencia innecesaria y fragmentada de la STC 106/2022, de 13 de octubre, que tiene más que ver con el voto conjunto —“concurrente/particular”—, en el que los firmantes consideraban que “[l]a sentencia aprobada por la mayoría entiende que hay una interpretación constitucional de la norma impugnada y que solo esa interpretación permite salvar la constitucionalidad de la norma”, que con la sentencia aprobada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Finalmente, debemos indicar que la resolución impugnada, junto con el resto de las resoluciones que por la resistencia de la demandante debieron dictarse en el marco de su ejecución, lejos de vulnerar derechos fundamentales de la recurrente, restablecieron el derecho a la vida familiar de don J.V.O., truncado por la decisión unilateral e injustificada de la demandante. De este modo garantizaron el cumplimiento de las obligaciones positivas derivas del art. 8 CEDH y dieron satisfacción al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se desarrollarán cada uno de los apartados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Vulneración del derecho a la presunción de inocencia de don J.V.O. (arts. 24.2 CE y 6.2 CEDH y STEDH de 12 de julio de 2013, asunto Allen c. Reino Unido)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discrepamos vulnera el derecho a la presunción de inocencia de don J.V.O., quien fue absuelto, hace casi un año, de los hechos a los que hace referencia la sentencia aprobada por la mayoría. En efecto, la sentencia 141/2024, de 23 de abril, dictada por el Juzgado de lo Penal núm. 1 de Vitoria y confirmada por la sentencia de la Audiencia Provincial de Álava 177/2024, de 26 de septiembre, dictada en el rollo de apelación 358-2024, absolvió al padre del menor de los hechos denunciados.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Juzgado de lo Penal núm. 1 de Vitoria, que obra en las actuaciones y respecto de la cual ha sido infructuoso todo intento de que se incluyera una referencia a la misma en los antecedentes, examina de manera exhaustiva la prueba practicada en relación con los hechos denunciados, acontecidos el día 1 de noviembre de 2020. La claridad y contundencia de la argumentación obligan a la reproducción literal de una parte de la misma, aunque ello suponga sacrificar la siempre agradecida concisión: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ha resultado acreditado que la denunciante, deseaba fijar su residencia en La Coruña, donde vivían sus padres, y trasladarse allí con el menor, posibilidad que no contemplaba el acusado, que trabajaba como bombero en Nanclares de Oca.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son pocas las ocasiones en supuestos de violencia de género o doméstica, en los [que] late la sospecha de motivaciones espurias en la denuncia, derivadas fundamentalmente de discrepancias surgidas [entre] los padres en torno a la custodia y régimen de visitas de los hijos menores, en este caso la duda ha dado paso a la certeza, y es [que] por más [que] hubiera podido acreditarse que los hechos denunciados fueron ciertos, lo que por otro lado no se ha logrado, de lo [que] no cabe duda es [de ]que la denunciante y acolitas, presionaron al acusado desde el inicio para que aceptar[a] las condiciones de un divorcio, que incluían la custodia exclusiva del menor para la madre, haciéndole saber al acusado que caso contrario se expondría a una denuncia por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tras no ceder al chantaje, la denuncia se llevó a efecto, interponiéndose la misma el día 16 de noviembre de 2020, ante la Policía Nacional de A Coruña.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duda de que los hechos hubieran llegado al conocimiento de los juzgados, pues como sabemos, la denunciante fue asistida de urgencia en el hospital de San José, donde la afirmada víctima relató al sanitario un episodio de violencia de género. Ahora bien, vista la nimiedad y lo inespecífico de las lesiones descritas en aquel informe médico, si llegado el caso la denunciante hubiera hecho uso de su dispensa a declarar o hubiera referido la existencia de una discusión (único extremo acreditado), se hubiera procedido al archivo de las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Oliva siguió maniobrando en contra del acusado, engordando artificialmente la denuncia, basta para ello con dar lectura al disparatado escrito [de] su acusación (folio 332), donde trascendiendo de los límites del auto de procedimiento abreviado y en contra de la decisión de la Audiencia Provincial de Álava de fecha 20 de junio de 2022, (folio 320), solicita la condena del acusado nada más y nada menos que [por] tres delitos de malos tratos en el ámbito familiar, un delito contra la integridad moral penal agravado por producirse en domicilio familiar y en presencia de menor, un delito de amenazas grave y coacción grave, un delito continuado de coacciones agravado en domicilio familiar, un delito leve de vejaciones injustas.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los manejos de la acusación particular no se detienen en esta ampliación de la denuncia, también trató por todos los medios esta que la competencia para el conocimiento de los hechos se queden [en] los juzgados de La Coruña a fin de consolidar la situación de hecho que había impuesto a su todavía marido, logrando de facto lo que pretendía, trasladar su domicilio a esta localidad junto con su hijo. A tal fin, se solicitó orden de protección ante los juzgados de A Coruña, tras comprobar que aquellos inhibían su competencia a los juzgados de Vitoria, orden que se denegó (folios 354 y siguientes), [refiriéndose] aquella resolución, tanto al carácter instrumental de la petición de medidas cautelares como a la concurrencia de circunstancias que permiten apreciar motivos espurios en la denuncia y declaración de la denunciante.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esta denuncia se interpusieron otras frente al acusado que fueron sobreseídas por delitos de apropiación indebida y contra el honor (folios 371 y siguientes), denuncias que dicho sea de paso y tal y como puso de manifiesto en el acto del juicio el acusado le ocasionaron un serio quebranto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denunciante, en este caso no solo no materializó la denuncia anunciada al acusado, sino que hizo uso abusivo de todos los mecanismos legales a su alcance para lograr su objetivo, establecerse junto con su hijo en A Coruña, obteniendo la custodia exclusiva del menor, tal y como se desprende tanto del whatsapp (folio 136), como de la transcripción [de] grabaciones de conversaciones telefónicas, siendo que ni uno ni otras han sido impugnadas de contrario, donde la denunciante no duda ofrecer al acusado dos opciones: o cambian su residencia a La Coruña reconociendo el acusado la custodia exclusiva a la denunciante, eso sí ,con un amplio régimen de visitas a favor del padre o si se descarta esta posibilidad se iniciaría el ejercicio de acciones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por tanto evidente que existen móviles que tienen su origen en causas distintas que nada tienen que ver con el maltrato y amenazas que se denuncian, lo que exige examinar el testimonio de la víctima con máxima 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como se decía más arriba, la ausencia de uno de estos criterios no es motivo que sirva a privar, sin más, de valor el testimonio de la víctima; sin embargo, en este caso los otros requisitos deben concurrir especialmente reforzados, y lo cierto es que tampoco desde el punto de vista de la verosimilitud objetiva el testimonio de Oliva parece fiable, veamos”.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Añade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partes médicos lejos de corroborar la versión ofrecida por Oliva contribuyen a lo contrario y es que la mujer describe una paliza en toda regla que no se compadece con las lesiones de mínima entidad que objetiva el parte médico.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Nunca antes en un informe de estas características (folio 4) se había visto describir una lesión como “rubor o discreto rubor”, esto es, no alcanza ni la categoría de enrojecimiento, lo que difícilmente puede responder a los agarrones a una o dos manos en el cuello que dijo haber sufrido la denunciante y que bien podían obedecer al mero contacto con una prenda de vestir con tejido o alguna fibra ligeramente urticante. Otro tanto cabe razonar respecto del hematoma incipiente en el muslo, lesión inespecífica de data indefinida, al igual que la erosión superficial en el brazo derecho que podría haberse producido de [forma] meramente accidental, sin ir más lejos recordar que según manifestó la denunciante ese día estuvieron andando en bici por la mañana.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no aparece ninguna herida o lesión que pueda vincularse con el arrastramiento por el pelo que la denunciante dijo haber sufrido desde la cocina hasta el salón, pues no se objetiva arrancamiento de cuero cabelludo, ni tampoco existe evidencia de lesiones que pueda guardar relación con las patadas que según sostiene recibió por parte del acusado cuando estaba en el suelo”.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finalizado el proceso penal con la absolución definitiva de don J.V.O., las expresiones utilizadas y la motivación de la sentencia de la que discrepamos suponen una clara vulneración del derecho a la presunción de inocencia del denunciado ya absuelto (arts. 24.2 CE y 6.2 CEDH), cuya tutela ha dado lugar a numerosos pronunciamientos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dedica el fundamento jurídico 2 a) a lo que intitula “El deber de motivación judicial reforzada por afectación del interés superior del menor. Regímenes de guarda, custodia y visitas en contextos de violencia de género”. El título del fundamento sugiere que la guarda y custodia se resolvió en un contexto de “violencia de género”. Su contenido no desautoriza el enunciado. El lenguaje utilizado acepta la posición de la recurrente que justifica el cambio de residencia en la “condición de víctima de violencia machista”. Se reprocha al órgano judicial autor de la resolución que no evidenciara que la decisión adoptada, “suponía el deber de doña O.V.R., de ejercer la guarda y custodia de su hijo menor en la ciudad de residencia de su presunto maltratador”, término denigrante que ni tan siquiera utiliza la recurrente en la demanda de amparo —pese a que se interpuso con anterioridad a conocer la sentencia absolutoria— y que es absolutamente incompatible con 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la sentencia ignora la existencia del pronunciamiento absolutorio confirmado por la Audiencia Provincial. El argumento discurre sobre la necesidad de tomar en consideración los indicios de violencia de género o “las dinámicas de sometimiento inherentes a la violencia de género” o la “obligación de prevención y protección contra la violencia de los hijos e hijas de las mujeres víctimas de violencia machista” que conforme a la sentencia del Juzgado de lo Penal no existió.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que, cuando aplica la doctrina expuesta para resolver acerca de la vulneración producida, en el fundamento jurídico 3, la sentencia impone un deber de motivación al Juzgado de Violencia sobre la Mujer en tanto que “el desplazamiento inicial no consentido del menor venía justificado, según la denuncia planteada por su madre, por la preexistencia de una situación de violencia de género”. Indica además que el juzgado no podía “obviar a tales efectos los indicios de violencia de género” frente a quien en ese momento se habían abierto diligencias por motivos de violencia de género. Incluso se pronuncia sobre el fondo y señala que la decisión debía tomar en consideración la causa alegada desde el principio por doña O.V.R., como motivo de su traslado y los “indicios de violencia de género y las dinámicas inherentes a la violencia machista”, elevando erróneamente la denuncia y al atestado —como se verá— a la categoría de prueba e invirtiendo la carga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y su terminología contradicen el derecho a la presunción de inocencia, dado que existe una sentencia absolutoria sobre don J.V.O. No cabe utilizar términos como “víctima”, “revictimización” —atribuido al auto impugnado—, “maltratador” o “existencia de indicios de violencia de género”, cuando sobre los hechos denunciados ha recaído una sentencia absolutoria.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haciendo uso de las expresiones contenidas en la STEDH de 13 de julio de 2010, asunto Tendam c. España, § 38, por la motivación empleada o por el lenguaje utilizado en sus razonamientos, la sentencia de la que discrepamos cuestiona la inocencia de don J.V.O., lo que conforme a la STEDH de 16 de febrero de 2016, asunto Vlieeland Boddy y Marcelo Lanni c. España, supone un menospreció a la presunción de inocencia, como se desprende de los parágrafos 39 y 40, que señalan: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 […] no puede admitirse que se siembren sospechas sobre la inocencia de un acusado tras una absolución que haya adquirido carácter de firmeza (Sekanina, anteriormente citada, § 30).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(Rushiti, anteriormente citada, § 31). En efecto, unas decisiones judiciales posteriores o unas declaraciones que emanen de autoridades públicas pueden plantear un problema desde la perspectiva del artículo 6 § 2 anteriormente citado si equivalen a una declaración de culpabilidad que ignora, deliberadamente, la absolución previa del acusado (Del Latte c. Países Bajos, núm. 44760/98, § 30, 9 de noviembre de 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 […] en el ámbito del artículo 6 § 2 del Convenio, la parte resolutiva de una sentencia absolutoria debe ser respetada por toda autoridad que se pronuncie de manera directa o incidental sobre la responsabilidad penal del interesado (Allen, anteriormente citada, § 102, Vassilios Stavropoulos c. Grecia, núm. 35522/04, § 39, 27 de septiembre de 2007).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“[e]n tal contexto, la presunción de inocencia significa que si se ha formulado una acusación penal y el proceso ha dado lugar a una absolución, la persona procesada se considera inocente según la ley y debe ser tratada como tal” (STEDH de 25 de febrero de 2025, asunto Gomes Costa c. Portugal, § 98). “‘Tras el archivo de un proceso penal, la presunción de inocencia requiere que la ausencia de condena penal de una persona se respete en cualquier otro proceso, cualquiera que este sea’ (véase Allen, citado anteriormente, § 102). Lo que también está en juego una vez finalizado el proceso penal es la reputación de la persona y la forma en que la sociedad la considera. En cierta medida, la protección otorgada en virtud del artículo 6.2 a este respecto puede solaparse con la protección otorgada por el artículo 8” (decisión del Tribunal Europeo de Derechos Humanos de 25 de junio de 2019, asunto Martínez Agirre y otros c. España, §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lucha por la igualdad, que en su origen ha sustentado el enfoque de la perspectiva de género como instrumento de aportación de nuevas máximas de experiencia —especialmente útiles en la valoración probatoria—, no puede obviar las garantías tradicionales que han inspirado el proceso penal y en particular 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Buena muestra del sacrificio del derecho a la presunción de inocencia es el discurso argumental que sostiene la sentencia de la que discrepamos. La sentencia, dando un paso más respecto a las previas SSTC 115/2024, de 23 de septiembre, y 145/2024, de 2 de diciembre, con las que guarda una evidente relación, eleva a la categoría de prueba indiciaria y de indicio no solo la denuncia y el atestado, sino también la “certificación” expedida por el Ministerio Fiscal —esto es, la acusación pública— o el informe de los servicios sociales del Ayuntamiento de A Coruña. En el caso de estos dos últimos documentos se argumenta que los mismos se prevén en la Ley 11/2007, de 27 de julio, gallega para la prevención y el tratamiento integral de la violencia de género [art. 5 c) y e) de la misma] como suficientes para acreditar la existencia de indicios en el ámbito de aplicación de dicha ley. Añadimos nosotros que tales documentos —“certificado de la Fiscalía Provincial” y de “los servicios sociales del ayuntamiento”— en ese ámbito se equiparan a una sentencia condenatoria [art.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ahora, conceptualmente estaba asentado y era una obviedad recordarlo, ni el atestado, ni la denuncia que al mismo se incorpora, constituyen un medio de prueba, pues se enmarcan en la antesala del proceso (art. 297 de la Ley de enjuiciamiento criminal). Los hechos con trascendencia penal que en los mismos se describen precisamente serán los que deberán ser probados en el proceso a través de los medios de prueba constitucional y legalmente admitidos. No cabe otorgar la condición de prueba —tampoco indiciaria— a las declaraciones prestadas extramuros del proceso penal (por todas, STC 31/1981, de 28 de julio, FJ 4) y menos aún considerarlas “indicios”. El atestado, respecto de las declaraciones, se erige en objeto de prueba y no en medio de prueba (STC 165/2014, de 8 de octubre, FJ 2), con las salvedades constitucionalmente reconocidas, sobre las que no nos vamos a extender (SSTC 100/1985, de 3 de octubre; 201/1989, de 30 de noviembre; 157/1995, de 6 de noviembre, o 68/2010, de 18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referidas declaraciones no constituyen hechos debidamente comprobados, por lo que ontológicamente no permiten asentar una inferencia que pueda llevarnos al conocimiento de lo acontecido. Es por ello que no pueden ser elevadas a la categoría de indicios, como erróneamente sostiene la sentencia de la que discrepamos. Y tampoco la ausencia de referencia a los mismos puede ser utilizada, como realiza la sentencia, como núcleo del reproche tanto al auto que deniega la orden de protección, dictado por el Juzgado de Violencia sobre la Mujer núm. 1 de A Coruña —que no es objeto de la demanda de amparo—, como al que resuelve las medidas provisionales coetáneas a la demanda de divorcio dictado por el mismo juzgado de Vitoria. Precisamente, ambos órganos judiciales sustentaron correctamente su resolución en la valoración de las pruebas practicadas con inmediación. Elevar la denuncia, el atestado, el informe del fiscal o de los servicios sociales a la condición de indicio de la comisión del delito de violencia de género supone invertir la carga de la prueba y soterrar 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impugnado frente al que se concede el amparo descarta que el traslado del hijo de modo unilateral se encuentre justificado en la mejor salvaguarda del interés del menor por su seguridad y estabilidad en el domicilio anterior y sustenta su criterio en que no se dictó ninguna medida de protección ni respecto de la madre ni del menor. Precisamente, en las diligencias previas núm. 1044-2020, seguidas ante el Juzgado de Violencia sobre la Mujer núm. 1 de A Coruña, tras practicar como medios de prueba las declaraciones de los dos progenitores y la documental propuesta, se descartó, por auto de 1 de diciembre de 2020, la concesión de la orden de protección, al apreciar motivos espurios en la denuncia y declaración de la denunciante. A idéntica conclusión llegó la sentencia del Juzgado de lo Penal núm. 1 de Vitoria que absolvió a don J.V.O., tres años y cuatro meses después.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Incumplimiento de la doctrina constitucional que prohíbe la reconstrucción de las demandas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alega la lesión del derecho de acceso a la jurisdicción (art. 24.1 CE) en la vertiente de falta de una motivación reforzada en un asunto en el que se encontraba concernido el interés superior del menor y el art. 19 CE por la limitación del derecho a la libertad de residencia.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siguiendo la senda de las ya citadas SSTC 115/2024 y 145/2024, entiende, como se ha expuesto, que los órganos judiciales no habrían tenido en cuenta y otorgado consideración preferente al entorno de violencia sufrida por uno de los progenitores y causada por el otro y que afecta al hijo en común. Violencia —sufrida y causada— que la sentencia viene a configurar como una realidad apriorística nacida de la mera denuncia de la madre y que se enfrenta al contenido de todas las resoluciones judiciales que se han dictado en los diversos procedimientos civiles y penales seguidos.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poder asentar el discurso la sentencia tiene que reconstruir la demanda y aplicar el canon sobre motivación reforzada y valoración prevalente de lo que considera un contexto de violencia de género perjudicial para el interés del menor. De este modo modifica el problema constitucional que se plantea por la recurrente, pues, conforme a la queja que se formulaba, la decisión de la Sala debería haberse centrado en determinar si las resoluciones judiciales recurridas han vulnerado el derecho a la tutela judicial efectiva de la demandante de amparo en la vertiente del derecho a una motivación reforzada de la decisión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entiende necesaria la motivación reforzada por dos razones, ninguna de las cuales es el supuesto contexto de violencia de género, que es determinante del otorgamiento del amparo. Tal como la mera lectura de la demanda pone de manifiesto, esa motivación reforzada se entiende necesaria (y su falta vulneradora del art. 24.1 CE) por cuanto se trata de una resolución judicial que afecta a: (i) el interés superior del menor y (ii) al art. 19 CE en relación con la limitación del derecho a elegir el lugar de residencia, sin que, en la formulación de tales quejas, aparezca el contexto de violencia determinante de la estimación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reformula la queja al afirmar, en su fundamento jurídico 2 a), que “el auto objeto del recurso de amparo que ahora resolvemos afecta al derecho a la igualdad y a la prohibición de discriminación por razón de sexo desde el momento en que la razón que arguye la recurrente como motivo del cambio de residencia junto con su hijo menor es su condición de víctima de violencia machista”.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así la cuestión desde la perspectiva del no alegado derecho fundamental a la no discriminación por razón de sexo del art. 14 CE, que se plantea en un contexto que considera vinculado a delitos relacionados con la violencia de género, y de este modo resucitar el canon ad hoc que será aplicado en el proceso, basado en la exigencia de motivación reforzada en contextos de violencia de género y que lleva directamente a estimar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Excepción al ejercicio conjunto de la patria potestad y a la exigencia de autorización judicial en caso de desacuerdo (art. 19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Antes de entrar a cuestionar la argumentación que contiene la sentencia en relación con el derecho del progenitor a fijar su residencia en el territorio nacional, es preciso referirnos al contenido de los autos impugnados y a las resoluciones que se dictaron en el marco de la ejecución del mismo que, a diferencia del procedimiento penal, no han sido recabados del Juzgado de Violencia sobre la Mujer núm. 1 de Vitoria, y de los que resulta que la fijación de la residencia en Vitoria fue debatida y resuelta finalmente por la Audiencia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auto núm. 81/2021, de 30 de julio, dictado por el Juzgado de Violencia sobre la Mujer núm. 1 de Vitoria en el marco de las medidas coetáneas al procedimiento de divorcio, que es, junto con el de 17 de diciembre de 2021 que desestima la petición de nulidad, objeto de impugnación, estimó parcialmente la demanda interpuesta por don J.V.O., y atribuyó, como consta en los antecedentes de la sentencia de la que discrepamos, la guarda y custodia del menor a la madre “que deberá ejercerse en la ciudad de Vitoria-Gasteiz”.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Razona el auto que ambos padres tienen capacidad de decisión sobre el hijo común, pero que dicha capacidad “no les da derecho a impedir que el otro le vea”. Indica que la madre se marchó de Vitoria-Gasteiz a La Coruña el 5 de noviembre de 2020, llevándose al menor, y desde entonces el padre no ha tenido contacto con el menor. Justifica que la custodia se ejerza en Vitoria-Gasteiz “donde tendrá que residir el menor, ya que en el presente caso se ha realizado un traslado del hijo de modo unilateral sin que se haya justificado dicho traslado de residencia”.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marcharse unilateralmente de la ciudad ha supuesto apartar a este menor de su entorno conocido y familiar, lejos del ambiente donde se ha criado el menor, ya que el niño ha nacido y residido en Vitoria-Gasteiz hasta el momento que la madre se lo llevó a La Coruña, estando escolarizado en esta ciudad, cambiando la residencia del menor, sin autorización judicial ni el consentimiento del padre, pudiendo haber cambiado, por las mismas razones alegadas, de domicilio en esta misma ciudad.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Constitución Española, en su artículo 19, determina el derecho de los españoles a elegir libremente su residencia, y a salir de España en los términos que la ley establezca. Pero el problema no es este, el problema se suscita sobre la procedencia o improcedencia de llevar al menor a residir en otro lugar, lo que puede comportar un cambio radical tanto de su entorno social como parental; uno de los progenitores, con ejercicio conjunto de la patria potestad sobre los hijos, no tiene la facultad de decidir un traslado de residencia del menor que aparte al mismo de su entorno habitual, por corresponder tal facultad a ambos progenitores, necesitando para ello el progenitor del previo consentimiento del otro o, en su defecto, de la supletoria autorización judicial, la decisión de cambiar la residencia de su hijo afecta a la patria potestad, que es compartida con don Jorge, por lo que no tiene derecho a acordar unilateralmente el cambio de residencia.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que uno de los progenitores quiera marcharse a residir a otra ciudad no arrastra con ello el derecho a llevarse a los hijos comunes consigo.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atribución de la vivienda familiar, una vez que el menor se encuentre en Vitoria-Gasteiz, se hace a favor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que desestima el incidente de nulidad señala que la resolución se encuentra motivada sobre “la base del interés superior del menor y en aras a garantizar el contacto entre padre e hijo”. Sin embargo, este argumento, pese a su importancia, no se recoge en el antecedente 2 o) de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Debe destacarse que don J.V.O., ante la falta de cumplimiento del auto impugnado, instó la ejecución del mismo, dando lugar a un incidente de ejecución en el que se desestimó la oposición de la demandante de amparo por auto de 1 de septiembre de 2022, confirmado —al desestimar el recurso de apelación— por el auto 36/2023, de 25 de abril, de la Sección Primera de la Audiencia Provincial de Álava, que si bien no ha sido recabado y unido a las actuaciones es accesible, al encontrarse publicado en la base de datos del Centro de documentación judicial (CENDOJ) (ECLI:ES:APVI:2023:73A). La lectura de su argumentación confirma el esfuerzo que han tenido que realizar los órganos judiciales para garantizar el contacto entre padre e hijo, que es el la razón que sustenta las resoluciones impugnadas, coherente con el cumplimiento de las obligaciones positivas del Estado derivadas del Convenio europeo de derechos humanos (art. 8 CEDH). Indica el auto, con referencia a lo acontecido con posterioridad al dictado de la resolución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progenitora admite que trasladó su domicilio a La Coruña y que el menor está escolarizado en esa ciudad, por tanto, ha incumplido la primera de las medidas del auto sobre medidas provisionales, que obliga a ejercer la guarda y custodia en Vitoria. La señora […] aporta argumentos de diversa índole para justificar su decisión, tiene otro trabajo en La Coruña, familiares que le ayudan a cuidar al menor y que residen allí, el progenitor puede ver al niño y trasladarse hasta La Coruña, etc. Además, inventa un argumento sorprendente, el auto únicamente obliga a ejercer la custodia en Vitoria-Gasteiz, por lo que el progenitor custodio puede elegir el lugar de residencia en cualquier otro sitio, es un derecho constitucional, como si fuesen cuestiones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es surrealista, debe creer que los magistrados que conformamos la Sala no estamos capacitados para dictar una sentencia de divorcio y las medidas derivadas a favor de los hijos. Debe pensar que vivimos en otro mundo o que no sabemos dónde está La Coruña. El argumento quizás sea el contrario, quien no está capacitada para ejercer la guarda y custodia es la madre, circunstancia que analizaremos al conocer del divorcio en el procedimiento principal. Puede ser eso o que nos está tomando el pelo.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progenitora ha incumplido la primera de las medidas adoptadas en el auto núm. 81/2021 de 30 de julio sobre medidas provisionales, trasladó al menor hasta La Coruña y lo escolarizó en aquella ciudad de forma unilateral, sin el consentimiento del otro progenitor o, en su defecto, sin previa resolución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siguiente motivo alega que el auto de medidas provisionales otorga la guarda y custodia a la madre quien puede elegir libremente su residencia y salir de España conforme a lo establecido en el art. 19 CE, independientemente del consentimiento del otro progenitor.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argumento olvida el interés del menor, el niño nació en Vitoria, su primer colegio fue en esta misma ciudad, al trasladarlo a La Coruña la madre ha impuesto una situación de hecho artificiosa, no ha tenido en cuenta los sentimientos del niño ni la relación paterno-filial.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que trata de ejecutarse no conculca derecho alguno a la recurrente, la madre puede residir y trabajar donde desee, lo que dice es que la guarda y custodia se ejercerá en Vitoria, lo que implica que el niño debe vivir en Vitoria y, en consecuencia, también debe estar escolarizado en esta ciudad. Por tanto, cualquier decisión que modifique esta medida afecta a la patria potestad, si la madre no podía ejercer la guarda y custodia en Vitoria, debió ponerlo en conocimiento del otro progenitor e intentar llegar a un acuerdo. En su defecto, debió dirigirse al Juzgado de Violencia sobre la Mujer, el juez le habría dado una solución. El traslado a La Coruña era innecesario, la madre tenía trabajo en Vitoria y el niño era feliz en esta ciudad, con esta decisión ha condenado al menor a romper la relación con su progenitor”.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último, debemos traer a colación la sentencia 140/2024, de 16 de febrero, dictada por la Sección Primera de la Audiencia Provincial de Álava en el procedimiento principal de divorcio, que, pese a encontrarse incorporada a las actuaciones, no tiene su reflejo —al igual que la sentencia del Juzgado de lo Penal núm. 1 de Vitoria— en los antecedentes. Merece la pena detenerse en parte de sus argumentos, cuya literalidad es la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problemas de sustracciones a nivel internacional el Tribunal de Justicia de la Unión Europea ha aplicado el Reglamento de Bruselas II (asunto C-638/22 PPU, Rzecznik Praw Dziecka y otros), norma que completa el Convenio de La Haya, resolviendo que los menores deben ser restituidos en el plazo más breve posible a su lugar de residencia. En la misma línea se pronuncia el Tribunal Europeo de Derechos Humanos (sentencia de 1 de septiembre de 2022) aplicando el art. 8 del Convenio de La Haya y dando la posibilidad a un padre alemán de decidir sobre la residencia de sus hijos cuando la madre los trasladó a otro Estado. Aunque los supuestos no son idénticos, marcan la línea a seguir por los tribunales europeos, los progenitores no pueden decidir sobre los menores de forma unilateral ni pueden trasladarles de un lugar a otro sin el consentimiento del otro progenitor, esta es una cuestión que corresponde a la patria potestad, compartida por ambos, al menos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ser el tribunal el que decida, contando con las pruebas practicadas y con los informes técnicos oportunos, siempre de la forma más conveniente y ajustada a la defensa y preservación del interés del niño. La Sala no comparte en todos sus extremos la sentencia de instancia. Veamos.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Recordamos que en el auto de medidas provisionales dictado el 30 de julio de 2021 se establecía que la guarda y custodia debía ejercerse en Vitoria y el auto de esta Audiencia resolviendo la oposición a la ejecución confirma la medida, dejando claro que la guarda y custodia […] debe ejercerse en Vitoria. Le estábamos dando a la madre la oportunidad de cambiar su lugar de residencia y volver a Vitoria en beneficio del menor y también de ella misma, pudiendo ejercer en esta ciudad la guarda y custodia.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noviembre de 2020 la madre salió de la vivienda familiar y se auto-atribuyó la guarda y custodia del niño, una decisión arbitraria que adoptó sin el consentimiento del progenitor, olvidando que corresponde a quienes tienen la patria potestad del menor. El auto de medidas provisionales y el de esta Audiencia, resolviendo la oposición a la ejecución, responden a esta actitud.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recurrente afirma que cuando se llevó al niño tenía tres años, el traslado no afectó a sus estudios, a nivel académico no han existido problemas. Compartimos la reflexión, tampoco ahora se le ha causado perjuicio a nivel académico al trasladarlo a Vitoria, lo que no puede hacer la [madre] en relación al menor es adoptar decisiones tan importantes para el futuro del niño sin contar con su progenitor, que tiene la misma legitimación para decidir sobre [el menor]. El traslado de una ciudad a otra puede tener problemas o desajustes emocionales cada vez mayores conforme el niño se vaya haciendo mayor.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estos momentos no existe conflicto entre las partes, se respetan y han llegado a acuerdos en beneficio del menor sobre la forma de ejercer la custodia y las visitas y comunicaciones del niño con la madre. La [madre] ha decidido de momento mantener su residencia en A Coruña, lo que no le impide trasladarse a Vitoria para cumplir su derecho de visitas y compartir tiempo con su hijo. La parte apelada aporta varios correos cruzados en los que la [madre] reconoce que continúa residiendo en A Coruña, tiene complicado vivir en Vitoria por el trabajo y ambas partes pactan los fines de semana alternos en los que podrá visitar al menor. La madre no tiene disponibilidad para ejercer la guarda y custodia compartida por semanas alternas como dice la sentencia de instancia y lo admite”.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Frente al unánime criterio de las resoluciones referidas que aplican la regulación civil en materia del ejercicio de la patria potestad e inciden en el asentado principio de ejercicio conjunto de la misma y en la necesidad de decisión judicial en caso de discrepancia (art. 154.3 CC), la sentencia contraviene la regulación y justifica que sea exclusivamente la madre quien decida el lugar de residencia habitual de la persona menor de edad. En su fundamento jurídico 3, indica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tenido ya oportunidad de advertir en esta sentencia, en nuestro ordenamiento el cambio de residencia de los hijos y las hijas menores de padres separados o divorciados requiere del previo consentimiento de ambos progenitores o, en su defecto, de previa autorización judicial. Ahora bien, este deber legal puede resultar judicialmente flexibilizado. El interés superior del menor y los derechos de los progenitores ex art. 19 CE pueden excepcionar el deber legal de consentimiento mutuo o, en su defecto, de previa autorización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argumento es insostenible. Contraviene el asentado principio civil de ejercicio conjunto de la patria potestad en lo que —entre otros aspectos— se refiere a la determinación del lugar de residencia habitual del menor que se desplaza por el derecho a la libre fijación de residencia (art. 19 CE) y por la atribución a uno de los progenitores frente al otro —en este caso la madre— de la capacidad para determinar cuál es el interés del menor. Basta para activar dicha excepción la mera afirmación de la madre en forma de denuncia —que la sentencia eleva a indicio probatorio— por la que afirme ser víctima de un acto de violencia de género, sin necesidad de control judicial. Y ello aunque suponga el sacrificio del interés del hijo menor, en cuanto a su derecho “a mantener de forma periódica relaciones personales y contactos directos con su padre y con su madre, salvo si ello es contrario a sus intereses” (art. 24 CDFUE).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referido argumento es incompatible con los compromisos internacionales asumidos por España al legitimar el traslado de los menores por la voluntad unilateral de uno de los progenitores infringiendo la normativa estatal [Convenio sobre los aspectos civiles de la sustracción internacional de menores, hecho en La Haya el 25 de octubre de 1980, y Reglamento (CE) núm. 2201/2003, del Consejo, de 27 de noviembre de 2003] y con el derecho a la vida familiar (art. 8 CEDH) que tiene como elemento fundamental el disfrute mutuo de la compañía de padres e hijos (SSTEDH de 21 de septiembre de 2010, asunto Mijušković c. Montenegro, y de 1 de diciembre de 2009, asunto Eberhard y M c. Eslovenia). Dicho razonamiento contraviene la máxima por la que generalmente el interés superior del menor se identifica con el mantenimiento de los lazos familiares con ambos padres (STEDH de 13 de julio de 2010, asunto Fuşcă c. Rumanía, § 45).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finalizar, debemos afirmar que el derecho a elegir libremente su residencia (art. 19 CE), único derecho sustantivo invocado en la demanda, en modo alguno pudo verse concernido por los autos impugnados, pues dicho derecho no comprende entre sus facultades la de decidir unilateralmente el domicilio del hijo común que es sobre lo que versó la discrepancia entre las partes.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tercer lugar, señala el fundamento 2 a) de la sentencia de la mayoría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 todo ello debemos añadir que en nuestra STC 106/2022, de 13 de septiembre, en la que declaramos constitucional la modificación del también referido art. 94 CC operada por la Ley 8/2021, de 2 de junio, que prescribió la suspensión (o, en su caso, el no establecimiento) del régimen de estancias, visitas y/o comunicación respecto del progenitor incurso en un proceso penal iniciado por violencia, ya advertimos (FJ 4) que la autoridad judicial competente habrá de valorar si de las declaraciones de las partes y de las pruebas practicadas puede concluirse “la existencia de indicios fundados de violencia doméstica o de género, en la que se comprende también ‘la violencia que con el objetivo de causar perjuicio o daño a las mujeres se ejerza sobre sus familiares o allegados menores de 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referencia a la STC 106/2022 es fragmentada. Tiene más que ver con el voto conjunto —“concurrente/particular”—, en el que los firmantes afirmaban que “[l]a sentencia aprobada por la mayoría entiende que hay una interpretación constitucional de la norma impugnada y que solo esa interpretación permite salvar la constitucionalidad de la norma”, que con la sentencia tal y como fue aprobada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STC 106/2022 eludía cualquier automatismo en la interpretación y aplicación del art. 94 CC y de este modo salvó su inconstitucionalidad, pese a la discrepancia de quienes formularon el voto particular. Contrariamente a lo que se deja entender en la sentencia de la que discrepamos, la STC 106/2022 no prescribió la suspensión (o, en su caso, el no establecimiento) del régimen de estancias, visitas y/o comunicación respecto del progenitor incurso en un proceso penal iniciado por violencia por la mera existencia de indicios fundados de violencia doméstica o de género, sino que para valorar la afectación al interés del menor debía ponderarse la gravedad, naturaleza y alcance que el delito investigado tenga sobre la relación paterno o materno filial, su carácter doloso o imprudente, la persona o personas directamente afectadas por el mismo o las concretas circunstancias del caso. En tal sentido, se indicó literalmente, con referencia al art. 94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precepto no priva de modo automático al progenitor del régimen de visitas o estancias como afirman los recurrentes, sino que atribuye a la autoridad judicial la decisión sobre el establecimiento o no de un régimen de visitas o estancias o la suspensión del mismo, incluso en los supuestos en los que un progenitor esté incurso en un proceso penal iniciado por atentar contra la vida, la integridad física, la libertad, la integridad moral o la libertad e indemnidad sexual del otro cónyuge o sus hijos o cuando la autoridad judicial advierta, de las alegaciones de las partes y las pruebas practicadas, la existencia de indicios fundados de violencia doméstica o de género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resulta claramente si en la lectura del párrafo cuarto no se omite su inciso tercero, que atribuye en todo caso la decisión relativa al establecimiento o no de un régimen de visitas, comunicación y estancias a la autoridad judicial, que deberá motivarla en atención al interés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en alguno de los supuestos referidos en los dos primeros incisos del párrafo cuarto, será la valoración de la gravedad, naturaleza y alcance que el delito investigado tenga sobre la relación paterno o materno filial, su carácter doloso o imprudente, la persona o personas directamente afectadas por el mismo, o las concretas circunstancias del caso, las que normalmente revelarán si el interés del menor impone que se suspendan de modo absoluto, o se restrinjan o no, las relaciones del menor con alguno de los progenitores o con ambos.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decisión, frente a lo que afirman los recurrentes, se atribuye por el párrafo cuarto del art. 94 CC exclusivamente a la autoridad judicial en los casos en que así lo estime necesario o conveniente en resolución motivada en el interés superior del menor podrá optar por no privar al progenitor del régimen de visitas y estancias, o adoptar medidas ‘menos radicales’ (STEDH de 23 de junio de 2020, asunto Omorefe c. España, § 59) restringiendo y limitando el derecho, si con ello logra conjurar los riesgos que sobre el menor se ciernen y satisface la continuidad de la relación paternofilial.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puede concluirse que el párrafo cuarto del art. 94 CC, carece del automatismo que predican los recurrentes y no predetermina legalmente la privación del régimen de visita o estancia a ninguno de los progenitores. Es la autoridad judicial la que tomará la decisión de suspender, de restringir o no el régimen de visitas y estancias, y lo deberá hacer guiada por la finalidad de velar por el interés del menor (art. 39 CE). A tal fin, el precepto impugnado no limita la posibilidad de que el órgano judicial valore la gravedad, naturaleza y alcance del delito que se atribuye a un progenitor o a ambos, ni su incidencia en la relación paterno o materno filial, su carácter doloso o imprudente, la persona o personas directamente afectadas por el mismo, así como las concretas circunstancias del caso. De este modo, a diferencia de lo que afirman los recurrentes, el precepto impugnado faculta a la autoridad judicial para que pondere entre otras las consecuencias irremediables que el trascurso del tiempo de duración de la instrucción puede tener para las relaciones entre el niño y los progenitores que no viven con él (por todas, STEDH Saleck Bardi c. España, § 52), el carácter provisional de la condición de investigado en un proceso penal, así como su deber de adoptar medidas eficientes y razonables para proteger a los niños de actos de violencia o de atentados contra su integridad personal. Dichas medidas, desde luego, pueden ocasionar la pérdida de los derechos dimanantes de la patria potestad si el interés superior del menor, que puede incluir la seguridad de la víctima, no se puede garantizar de ninguna otra forma (art. 45 del Convenio del Consejo de Europa sobre prevención y lucha contra la violencia contra las mujeres y la violencia doméstica, hecho en Estambul el 11 de mayo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expuesto, debe descartarse la inconstitucionalidad del párrafo cuarto del art. 94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la referida cita del art. 94 CC era innecesaria. Dicho precepto no se aplicó ni era aplicable para resolver la cuestión, pues debía aplicarse la legislación autonómica; en concreto, la Ley del Parlamento Vasco 7/2015, de 30 de junio, de relaciones familiares en supuestos de separación o ruptura de los progenitores, de conformidad con el art. 2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último, debemos indicar que la demanda de amparo debió ser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impugnadas, lejos de vulnerar derechos fundamentales de la recurrente, restablecieron el derecho a la vida familiar de don J.V.O., y dieron eficaz cumplimiento a “la obligación del Estado de adoptar medidas positivas” para preservar “el derecho a la vida familiar” garantizado en el art. 8 CEDH y que comprenden “el derecho de un padre a que se adopten medidas con miras a reunirse con su hijo y la obligación de las autoridades nacionales de facilitar dicha reunión, en la medida en que el interés del niño dicte que se debe hacer todo lo posible para preservar las relaciones personales y, si es apropiado, ‘reconstruir’ la familia” (STEDH de 13 de febrero de 2025, asunto L.D. c. Polonia, § 115).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la decisión del auto núm. 81/2021, de 30 de julio, del Juzgado de Violencia sobre la Mujer núm. 1 de Vitoria-Gasteiz, al fijar el domicilio del menor en Vitoria, posibilitó finalmente, tras sortear los diversos incidentes de oposición, aclaración, y nulidad, la resistencia de la madre a cumplir con el pronunciamiento de la resolución judicial y garantizó la reanudación de la relación del padre con su hijo, que había sido truncada como consecuencia del abrupto cambio de domicilio del menor impuesto por la demandante de amparo de modo unilateral y al margen de cualquier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fue el principal objetivo de la resolución impugnada, como resulta de su argumentación, evitando que el paso del tiempo pudiera tener consecuencias irreparables en la relación entre el hijo y el padre que no vive con él (SSTEDH de 21 de septiembre de 2010, asunto Mijušković c. Montenegro, y de 22 de diciembre de 2009, asunto Tapia Gasca y D. c. España) y evitando que las dilaciones en el restablecimiento de la situación anterior pudieran suponer una resolución de facto de la cuestión (STEDH de 17 de enero de 2012, asunto Kopf y Liberda c. Austria).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debemos también advertir que lo decidido por la mayoría de la Sala implica sustituir la inmediación de la decisión judicial por un juicio abstracto y ajeno a las circunstancias del caso concreto, en una peligrosa e impropia deriva que comporta que la sentencia de la que discrepamos realice un nuevo enjuiciamiento para así dejar sin efecto lo decidido por la jurisdicción ordinaria. Esta sustitución, además, no tiene ninguna consecuencia ni efectos para el caso, en la medida en que el pronunciamiento de la sentencia es meramente declarativo.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