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4989-2024, promovido por doña Cristina Compte Martínez, representada por la procuradora de los tribunales doña María Isabel Torres Ruiz y bajo la dirección de la letrada doña Olga Georgina Marquina Pumpido, contra la sentencia núm. 695/2024, de 21 de mayo, dictada por la Sala de lo Social del Tribunal Supremo, que estimó el recurso de casación para la unificación de doctrina núm. 729-2023 interpuesto contra la sentencia núm. 6389/2022, de 29 de noviembre, dictada por la Sala de lo Social del Tribunal Superior de Justicia de Cataluña en el recurso de suplicación 1552-2022, y anuló la sentencia núm. 413/2021, de 20 de diciembre, dictada por el Juzgado de lo Social núm. 2 de Mataró, en autos de Seguridad Social en materia prestacional núm. 898-2021, que a su vez había estimado la demanda interpuesta contra las resoluciones de 10 de septiembre y 21 de octubre de 2021 del Instituto Nacional de la Seguridad Social y la Tesorería General de la Seguridad Social. Ha intervenido la letrada de la Administración de la Seguridad Social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junio de 2024, doña Cristina Compte Martínez, con la representación y defensa indicadas, interpuso recurso de amparo contra las resoluciones administrativas identificadas en el encabezamiento y la sentencia núm. 695/2024, dictada el 21 de mayo de 2024,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hijo el 18 de mayo de 2021, en el seno de una familia monoparental, solicitó la prestación por nacimiento y cuidado de la menor que le fue reconocida por un periodo de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anterior resolución interpuso reclamación previa en vía administrativa por la que reclamaba la ampliación en dieciséis semanas del disfrute del permiso por ser familia monoparental. Dicha reclamación fue desestimada por resoluciones de 10 de septiembre y 21 de octubre de 2021, lo que motivó que interpusiera una demanda contra el Instituto Nacional de la Seguridad Social (INSS) y la Tesorería General de la Seguridad Social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Social núm. 2 de Mataró dictó la sentencia núm. 413/2021 el 20 de diciembre de 2021, en la que estimó la demanda y declaró el derecho de la demandante al abono de la prestación por nacimiento y cuidado de menor durante dieciséis semanas que se añadían a las que ya disfrutó dejando sin efecto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dicha sentencia el INSS interpuso recurso de suplicación que por sentencia núm. 6389/2022, de 29 de noviembre, dictada por la Sala de lo Social del Tribunal Superior de Cataluña, fue desestimado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sentencia se interpuso por el INSS y la TGSS recurso de casación para la unificación de doctrina, que fue estimado por sentencia núm. 695/2024, de 21 de mayo,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sobre dicha cuestión el Pleno de la Sala de lo Social ya ha tenido ocasión de pronunciarse en la STS 169/2023, de 2 de marzo (ECLI:ES:TS:2023:783). La Sala subraya que corresponde únicamente al legislador regular el sistema de protección social y establecer las condiciones de acceso a las prestaciones. Por tanto, los jueces y tribunales no pueden suplir carencias legislativas ni ampliar derechos más allá de lo que prevé expresamente la norma. Crear o extender prestaciones contributivas es una función normativa que excede del ámbito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considera que la normativa española actual no vulnera ni la Constitución Española ni el Derecho de la Unión Europea ni los tratados internacionales suscritos por España. De hecho, la regulación vigente cumple con las exigencias de la Directiva (UE) 2019/1158, y el sistema español ya prevé ciertos mecanismos específicos de apoyo a las familias monoparentales, como algunas prestaciones no contributivas o ampliaciones en casos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del menor, si bien relevante, no puede erigirse en único criterio para conceder el derecho reclamado, pues hay otros principios en juego, como el de corresponsabilidad parental. Además, no existe discriminación normativa hacia las familias monoparentales ni hacia las mujeres, por lo que el canon de interpretación con perspectiva de género no resulta aplicable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Tribunal recuerda que han existido intentos legislativos recientes para ampliar el permiso por nacimiento y cuidado en familias monoparentales, pero no han prosperado. Esto refuerza la idea de que el legislador es consciente de la situación, pero ha optado por no modificar la normativa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y a prohibición de discriminación (art. 14 CE) así como la nulidad de las resoluciones administrativas y de la sentencia dictada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alega en primer lugar la vulneración del derecho fundamental a no ser discriminada por razón de sexo, recogido en el art. 14 CE. Argumenta que el sistema normativo actual, en especial el artículo 48.4 de la Ley del estatuto de los trabajadores (LET), tras su reforma por el Real Decreto-ley 6/2019, está diseñado exclusivamente para familias biparentales. Al no contemplar la posibilidad de acumulación de las dieciséis semanas correspondientes al otro progenitor en familias monoparentales, se genera una discriminación indirecta hacia las mujeres, ya que constituyen más del 80 por 100 de los hogares monoparentales según datos del Instituto Nacional de Estadística. Esta exclusión normativa priva a las madres solas del tiempo necesario para el cuidado del menor y perjudica su desarrollo profesional, incrementando la brecha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dicha discriminación es indirecta, en los términos definidos tanto por la Ley Orgánica 3/2007 para la igualdad efectiva entre mujeres y hombres como por las directivas comunitarias (especialmente la Directiva 2006/54/CE). La normativa impugnada, siendo aparentemente neutral, coloca a las mujeres en una situación de desventaja, vulnerando el principio de igualdad de trato y oportunidades, y contradiciendo los fines del propio Real Decreto-ley 6/2019, que buscaba precisamente avanzar hacia la corresponsabilidad y la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vulneración del derecho del menor a no ser discriminado por razón de nacimiento, también amparado por el art. 14 CE. Se argumenta que el menor nacido en una familia monoparental recibe menos semanas de cuidado directo por parte de su progenitora que el nacido en una familia biparental, lo que supone un trato desigual basado en su filiación. Esta situación es contraria al principio del interés superior del menor, consagrado en el art. 39 CE, en la Ley Orgánica de protección jurídica del menor y en diversos instrumentos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de manifiesto la omisión del legislador al no prever esta situación específica, lo que obliga a las familias monoparentales a compensar la falta de prestación mediante excedencias, reducciones de jornada o contratación de cuidados externos, con el correspondiente impacto económico y profesional. A juicio de la parte recurrente, esta omisión implica una desprotección legal del menor y de la familia monoparental, contraria a la finalidad de la prestación por nacimiento y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al Tribunal Constitucional que declare la nulidad de la sentencia del Tribunal Supremo y de las resoluciones administrativas previas, por considerar que han vulnerado los derechos fundamentales de la madre y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10 de febrero de 2025 acordó la admisión a trámite del recurso al apreciar que su contenido justificaba una decisión sobre el fondo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dirigir comunicación al Juzgado de lo Social núm. 2 de Mataró, a fin de que, en plazo que no excediera de diez días, emplazara a quienes hubieran sido parte en el procedimiento, excepto a la parte recurrente en amparo, para que pudieran comparecer en el recurso de amparo,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presentó sus alegaciones el 18 de marzo de 2025 en las que solicita que se tenga por realizado el allanamiento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eco de los recientes pronunciamientos del Tribunal Constitucional por los que tras estimar la cuestión de inconstitucionalidad núm. 6694-2023, planteada por la Sala de lo Social del Tribunal Superior de Justicia de Cataluña en relación con el art. 48, apartados 4,5 y 6 LET en conexión con el artículo 177 del texto refundido de la Ley general de la Seguridad Social, aprobado por el Real Decreto Legislativo 8/2015 (LGSS), que declaró inconstitucionales los citados preceptos, se dictaron sentencias en los recursos de amparo núm. 1084-2024, 1880-2024, 1845-2024 y 6078-2023 estimando las demandas presentadas conforme al pronunciamiento de la sentencia del Pleno del Tribunal Constitucional,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dichas sentencias, la dirección del servicio jurídico de la Seguridad Social dictó la instrucción 10/2024, de 23 de diciembre, y autorizó al servicio jurídico delegado central en el INSS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mediante escrito registrado el 31 de marzo de 2025, formula alegaciones en relación con la cuestión de inconstitucionalidad resuelta por el Tribunal Constitucional (núm. 6694-2023), promovida por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parte destaca que el Tribunal Constitucional, en la sentencia que resuelve la cuestión de inconstitucionalidad, concluye que la omisión legislativa al no contemplar un mecanismo que permita a las madres de familias monoparentales disfrutar del permiso del segundo progenitor vulnera el principio de igualdad, al generar un trato diferenciado e injustificado entre familias monoparentales y biparentales. Esta diferencia se traduce en una menor protección para los hijos nacidos en el primer tipo de familia, pese a tener idénticas necesidades de cuidado, contraviniendo lo dispuesto en los artículos 14 y 39 CE. La sentencia también enfatiza la necesidad de que el legislador corrija esta situación, sin declarar la nulidad de los preceptos afectados, dado su carácter estructural.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sostiene que los razonamientos y conclusiones de la sentencia del Tribunal Constitucional son plenamente trasladables al presente caso, en el que se solicita la ampliación del permiso y la correspondiente prestación por nacimiento y cuidado del menor. Al tratarse de un supuesto sustancialmente idéntico al resuelto por el Tribunal, solicita que se tengan por efectuadas las alegaciones y se evacúe el requerimiento conforme al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el 8 de mayo de 2025, interesó el otorgamiento del amparo y la nulidad de la sentencia dictada por la Sala de lo Social del Tribunal Supremo, así como la retroacción de las actuaciones para que dicte otra plenamente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transcribe el fundamento jurídico 2 de la STC 39/2025, de 10 de febrero, que aplica la STC 140/2024, de 6 de noviembre, y considera que la doctrina expuesta es aplicable al presente caso. En concreto, señala que la recurrente, madre de un menor nacido en 2021 en el seno de una familia monoparental, solicitó la ampliación del permiso por nacimiento en las dieciséis semanas que corresponderían al otro progenitor, conforme al artículo 48.4 LET. Esta petición fue desestimada por la administración, aunque estimada por el juzgado de lo social y por el Tribunal Superior de Justicia de Cataluña, que entendieron vulnerado el derecho a la igualdad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Supremo, en sede de recurso de casación para unificación de doctrina, revocó dichas sentencias. A juicio del fiscal, esta resolución incurre en una vulneración del derecho fundamental a la igualdad ante la ley sin discriminación por razón de nacimiento, en relación con el deber constitucional de protección del menor (art. 14 CE en conexión con el art. 39 CE), al haber generado un trato desigual carente de justificación objetiva y razonable, y haber ocasionado un perjuicio desproporcionado a la madre y a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del secretario de la Sección Tercera, de 9 de mayo de 2025, se hizo constar que se habían recibido los precedentes escritos de alegaciones y que quedaba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la sentencia de la Sala de lo Social del Tribunal Supremo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aplicación de la doctrina constitucional fijada en la STC 140/2024, de 6 de noviembre, y la letrada de la administración de la Seguridad Social se allana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declarando la nulidad de la sentencia núm. 695/2024, de 21 de mayo, dictada por la Sala de lo Social del Tribunal Supremo, que estimó el recurso de casación para la unificación de doctrina núm. 729-2023; de la sentencia núm. 6389/2022, de 29 de noviembre, dictada por la Sala de lo Social del Tribunal Superior de Cataluña en el recurso de suplicación 1552-2022, y de la sentencia núm. 413/2021, de 20 de diciembre, dictada por el Juzgado de lo Social núm. 2 de Mataró, en autos de Seguridad Social en materia prestacional núm. 898-2021, así como de las resoluciones de 10 de septiembre y de 21 de octubre de 2021 del INSS, conforme al pronunciamiento de la referida STC 140/2024,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Cristina Compte Martínez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695/2024, de 21 de mayo, dictada por la Sala de lo Social del Tribunal Supremo, que estimó el recurso de casación para la unificación de doctrina núm. 729-2023; de la sentencia núm. 6389/2022, de 29 de noviembre, dictada por la Sala de lo Social del Tribunal Superior de Cataluña en el recurso de suplicación 1552-2022, y de la sentencia núm. 413/2021, de 20 de diciembre, dictada por el Juzgado de lo Social núm. 2 de Mataró, en autos de Seguridad Social en materia prestacional núm. 898-2021, así como de las resoluciones de 10 de septiembre y de 21 de octubre de 2021 del INSS.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10 de septiembre de 2021 del INSS a fin de que, en los términos expuestos en el último párrafo del fundamento jurídico único,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