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8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8030-2021, promovido por don Javier Ignacio Maroto Aranzábal y doña Salomé Pradas Ten, portavoz y portavoz adjunta del Grupo Parlamentario Popular en el Senado, contra el acuerdo de la mesa del Senado de 14 de septiembre de 2021, estimando la disconformidad del Gobierno para la tramitación de la proposición de ley presentada por los recurrentes para la modificación del art. 91.1.2 de la Ley 37/1992, de 28 de diciembre, del impuesto sobre el valor añadido, a los efectos de aplicar el tipo reducido del 10 por 100 a los servicios de peluquería, barbería y estética; así como contra la resolución de 21 de septiembre de 2021 del mismo órgano de gobierno de la Cámara por la que se desestima la solicitud de reconsideración presentada frente a dicho acuerdo. Han comparecido y formulado alegaciones el Senado, representado por la letrada de las Cortes Generales, y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diciembre de 2021, don Manuel Sánchez-Puelles y González-Carvajal, procurador de los tribunales, en nombre y representación de don Javier Ignacio Maroto Aranzábal y doña Salomé Pradas Ten, interpuso recurso de amparo contra las resoluciones de la mesa del Senado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Grupo Parlamentario Popular en el Senado presentó, el 2 de julio de 2021 en el registro de la Cámara, la “proposición de ley por la que se modifica el apartado 1, punto 2 del artículo 91 de la Ley 37/1992, de 28 de diciembre, del impuesto sobre el valor añadido” y que suponía la aplicación del tipo impositivo reducido del 10 por 100 a los servicios de peluquería, barbería y estética. El artículo único de dicha iniciativa añadía un número al referido precepto, con la siguiente redacción: “14. Los servicios de peluquería, barbería y estética” y, de acuerdo con la disposición final segunda de esta iniciativa, se preveía la entrada en vigor de la ley el día 1 de enero de 2022. La proposición de ley se pronunciaba sobre el coste económico de la medida que implicaría rebajar el tipo impositivo del impuesto sobre el valor añadido (en adelante, IVA) a estas actividades: “Sin coste económico para el vigente ejercicio presupuestario. La modificación tendrá efectos en el próximo ejercicio presupuestario incrementando la recaudación por IVA por un menor cierre de empresas y de desempleo. Los datos del sector estiman un incremento de más de 140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Senado, en su reunión de 21 de julio de 2021, acordó la admisión a trámite de la iniciativa legislativa en los siguientes términos: “Admitir a trámite, trasladar al Gobierno a los efectos de los artículos 134.6 de la Constitución y 151 del Reglamento de la Cámara; asimismo, remitir a los portavoces de los grupos parlamentarios y a la Comisión General de las Comunidades Autónomas, a los efectos previstos en el artículo 56 b) de dicho Reglamento, y publicar en el ‘Boletín Oficial de las Cortes Generales’, abriéndose a continuación un plazo para la presentación de proposiciones de ley alternativas 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secretario de Estado de Relaciones con las Cortes y Asuntos Constitucionales, mediante escrito de 10 de septiembre de 2021, expresó su disconformidad para la tramitación de la proposición de ley por ser susceptible de producir una disminución de los ingresos presupuestarios (art. 134.6 CE). De acuerdo con este escrito, la valoración del perjuicio correspondiente al “impacto presupuestario derivado de la aprobación de esta proposición de ley sería de 203 millones de euros” y “[l]a aplicación presupuestaria que se vería afectada sería la 98.01.210”. El Gobierno, tras la cita de la STC 34/2018, de 12 de abril, que establecía que el denominado “veto presupuestario” del Gobierno debía afectar a iniciativas cuya aprobación tuviera repercusión en el ejercicio presupuestario en curso, precisaba, sin embargo, que: (i) “El Gobierno ha aprobado con fecha de 27 de julio de 2021 el acuerdo por el que se fija el límite de gasto no financiero del Estado para 2022”; (ii) dicho acuerdo “supone establecer el límite con el que el Gobierno cuenta para elaborar el proyecto de ley de presupuestos generales del Estado” y “[u]na iniciativa como la de referencia supondría una disminución de los ingresos presupuestarios que afectaría negativamente a este acuerdo”; y concluía que (iii) la aprobación de la proposición de ley presentada conllevaría la modificación del referido acuerdo del límite de gasto, lo que “supondría una clara intromisión en el reparto de competencias establecido en la Constitución Española, dado que corresponde al Gobierno la definición, elaboración y ejecución de la política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Senado, por acuerdo de 14 de septiembre de 2021, dio por concluida la tramitación de la proposición de ley sin que proceda su toma en consideración, al haber manifestado el Gobierno su disconformidad en plazo, en virtud de lo dispuesto en los arts. 134. 6 CE y 151.1 del Reglamento del Senado (en adelante,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Grupo Parlamentario Popular en el Senado, el 16 de septiembre de 2021, solicitó la reconsideración de la resolución de la mesa estimando la no conformidad del Gobierno, por ser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solicitud de reconsideración: (i) el Ejecutivo ha sobrepasado el plazo de diez días para oponerse a la tramitación de la proposición de ley y, por lo tanto, su silencio supone su conformidad con que esta prosiga (art. 151.1.3 RS) y, (ii) la doctrina constitucional en materia de veto presupuestario del Gobierno (con cita, entre otras, de la STC 34/2018, de 12 de abril), exige como requisito para el ejercicio de esta facultad, que la proposición de ley tenga incidencia directa e inmediata en el plan presupuestario en vigor; circunstancia que no concurre en este supuesto, puesto que la entrada en vigor de la referida ley está prevista para el 1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Grupo Parlamentario Popular sostiene que el acuerdo de la mesa es un acto arbitrario, sin base jurídica, que contraviene tanto la potestad legislativa constitucionalmente encomendada a las Cortes Generales, como el ejercicio del cargo público parlamentario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mesa del Senado, en la reunión de 21 de septiembre de 2021, acordó por mayoría desestimar la solicitud de reconsideración presentada. El órgano de gobierno de la Cámara recordó que “[e]xiste una extensa jurisprudencia constitucional sobre la función de calificación de las mesas de las cámaras parlamentarias (por todas, SSTC 57/2011, de 3 de mayo, y 88/2012, de 7 de mayo) que afirma que la misma ha de limitarse a la verificación de los requisitos formales de la iniciativa así como a aquellos de orden material que vengan determinados por la legalidad aplicable, representada por la Constitución, las normas integrantes del bloque de la constitucionalidad y el reglamento de la cámara correspondiente”. Y justificó la decisión desestimatoria afirmando que “el Gobierno ha hecho uso de una prerrogativa establecida por la Constitución en su artículo 134.6, sobre la que la mesa de la Cámara no tiene mayor capacidad decisoria que proceder a la tramitación de la disconformidad manifestada, tras comprobar el cumplimiento de los requisitos formales establecidos por la Constitución y el Reglamento del Senado, según la jurisprudencia antes resumida, ya que cualquier otro acuerdo podría impedir el uso de dicha facultad gubernamental” (con cita, entre otras, de las SSTC 57/2011, de 3 de mayo, y 88/2012, de 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considera suficiente la motivación ofrecida por el Ejecutivo afirmando que la medida propuesta es susceptible de producir una disminución de los ingresos presupuestarios (arts. 134.6 CE y 151.1 RS) de 203 000 000 € en la recaudación de dicho tributo y subraya que el Gobierno cita además la partida que se vería afectada (98.01.210). Reitera los argumentos expuestos por el Gobierno: la aprobación del acuerdo por el que se fija el límite del gasto no financiero para 2022 condiciona los presupuestos del siguiente ejercicio (art. 30 de la Ley Orgánica 2/2012, de 27 de abril, de estabilidad presupuestaria y sostenibilidad financiera) y la medida contenida en la proposición de ley de referencia alteraría el límite del gasto acordado, y con ello se “incidiría directamente en la competencia exclusiva del Poder Ejecutivo de elaborar dichas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la alegada extemporaneidad del veto, sostiene que no se habría superado el plazo de diez días hábiles fijado reglamentariamente porque los meses de julio y agosto están fuera de los periodos ordinarios de sesiones (arts. 73.1 CE y 69.1 y 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Una vez notificada esta resolución, el portavoz del Grupo Parlamentario Popular presentó, el 24 de septiembre de 2021, una nueva solicitud de reconsideración que fue inadmitida por el órgano de gobierno del Senado mediante acuerdo del día 28 de septiembre, al prever el Reglamento del Senado la posibilidad de una única solicitud de reconsideración frente a los acuerdos de la mesa de la Cámara en su función de calificación (art. 36.2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decisiones de la mesa del Senado impugnadas la vulneración del derecho al ejercicio del cargo público parlamentario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motivos de especial trascendencia constitucional del recurso, los demandantes aducen, en primer lugar, que el asunto suscitado “trasciende del caso concreto porque pudiera tener unas consecuencias políticas generales” [STC 155/2009, de 25 de junio, FJ 2 g)]. En este sentido, argumentan que los recursos previstos en el art. 42 de la Ley Orgánica del Tribunal Constitucional (LOTC) carecen de tutela ante la jurisdicción ordinaria, por lo que el recurso de amparo aparece como el único remedio posible para defender, no solo los derechos de representación política de los diputados, sino también los de la ciudadanía, cuya participación política, al menos a nivel institucional, se articula básicamente a través de sus representantes políticos (con cita, entre otras, de la STC 53/2021,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además, que la especial trascendencia constitucional del recurso se ve reforzada por el hecho de que, tanto el Gobierno como la mesa de la Cámara, incurren en una suerte de “negativa manifiesta” a acatar la doctrina del Tribunal Constitucional, similar a la prevista para los órganos judiciales [STC 155/2009, de 25 de junio, FJ 2 f)], puesto que dichos órganos contravienen la doctrina de este tribunal acerca del llamado “veto presupuestario” oponiéndose a la tramitación de una proposición de ley sin incidencia sobre el presupuesto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recuerdan que “el Gobierno podrá oponer su veto solo en aquellos casos en los cuales una proposición de ley tenga incidencia directa e inmediata en el presupuesto vigente, esto es, que implique razonablemente un incremento de los créditos o una disminución de los ingresos en el mismo ejercicio presupuestario. La motivación del Gobierno debe expresar tal incidencia, precisando las concretas partidas presupuestarias que se verían afectadas, teniendo en cuenta que el veto presupuestario tiene una incidencia directa sobre la propia función del Legislativo” (STC 53/2021, de 15 de marzo, FJ 5). Por otro lado, y en relación con las facultades de la mesa para controlar el veto del Gobierno, subrayan que “incumbe a las mesas parlamentarias llevar a cabo un control reglado sobre el ejercicio de la facultad del Gobierno, de carácter técnico-jurídico, no pudiendo responder en ningún caso a criterios de oportunidad política. Se trata de un doble control, formal y material” (STC 53/2021, de 15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Apoyándose en esta doctrina constitucional, los recurrentes argumentan que la aplicación del tipo reducido del IVA del 10 por 100 a los servicios de peluquería, barbería y estética, afectaría al futuro presupuesto del año 2022 y no al presupuesto vigente en el momento de presentarse la proposición de ley. A su juicio, las razones expuestas de contrario por el Gobierno —la aprobación el 27 de julio de 2021 del acuerdo por el que se fija el límite de gasto no financiero del Estado para 2022 y la intromisión en el reparto de competencias establecido en la Constitución Española que atribuye al Gobierno la definición, elaboración y ejecución de la política presupuestaria— nada tienen que ver con la doctrina del Tribunal. Por ello, consideran que la mesa del Senado no ha llevado a cabo un control material de la justificación del Gobierno para oponer el veto, resultando las decisiones impugnadas una mera expresión de voluntad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la demanda suplicando de este tribunal que otorgue a los recurrentes el amparo solicitado, reconociendo la vulneración del derecho de los demandantes al ejercicio de cargo público parlamentario con los requisitos que señalan las leyes (art. 23.2 CE), en conexión con el derecho de los ciudadanos a participar en los asuntos públicos a través de sus representantes (art. 23.1 CE), y que se les reestablezca en su derecho, y a tal fin se declare la nulidad de los acuerdos impugnados y se acuerde la retroacción de las actuaciones al momento inmediatamente anterior a la adopción de dichos acuerdos, para que la mesa dicte una nueva resolución sobre la solicitud presentada por el Grupo Parlamentario Popular respetuosa con el derecho de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marzo de 2022, acordó admitir a trámite el recurso de amparo, apreciando que concurría en el mismo una especial trascendencia constitucional (art. 50.1 LOTC)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y en aplicación del art. 51 LOTC, se acordó dirigir atenta comunicación a la Presidencia del Senado a fin de que, en plazo que no excediera de diez días, remitiera certificación o fotocopia adverada del expediente correspondiente a los acuerdos de 14 y 21 de septiembre de 2021, acompañándose a la mencionada comunicación copia de la demanda de amparo presentada para conocimiento de dicha Cámara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21 de marzo de 2022 se acordó tener por personada y parte en el procedimiento a la letrada de las Cortes Generales, en nombre y representación del Senado, así como dar vista de las actuaciones recibidas a las partes personadas y al Ministerio Fiscal,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amparo evacuaron el trámite de alegaciones conferido mediante escrito registrado en este tribunal el 7 de abril de 2022, en el que se ratificaron en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las Cortes Generales, en representación del Senado, evacuó el trámite de alegaciones conferido mediante escrito registrado el 19 de abril de 2022 interesando la desestimación del recurso,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 hecho, la delimitación de los actos impugnados y el examen de concurrencia de los requisitos de admisibilidad, la representante de la Cámara analiza la especial trascendencia constitucional del recurso. Coincide con el motivo de especial trascendencia que sirve de fundamento para la admisión del recurso recordando “la repercusión general que tiene el ejercicio de la función representativa y que excede del ámbito particular del parlamentario y del grupo en el que se integra” (STC 200/2014, de 15 de diciembre, FJ 2, entre otras) y niega la concurrencia del segundo motivo de especial trascendencia constitucional alegado en la demanda consistente en la “negativa manifiesta” a acatar la doctrina constitucional, al considerar, por el contrario, que dicha doctrina ha sido escrupulosamente observada por el órgano de gobierno de la Cámara, estando su actuación motivada “de forma expresa, suficiente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 la Cámara analiza la concreta actuación de la mesa del Senado, que considera respetuosa con la doctrina de este tribunal, relativa al ius in officium parlamentario y al veto parlamentario. De acuerdo con la doctrina constitucional, las facultades de control de la mesa sobre el veto del Gobierno son de carácter reglado, no pueden responder a criterios de oportunidad política y tienen una doble vertiente formal y material (STC 53/2021). El control formal se agota en verificar que el Gobierno haya dado su respuesta —expresa y motivada— en plazo y que concurra el presupuesto para la manifestación de su disconformidad (aumento de los créditos o disminución de los ingresos). En cambio, el control material se centra en la comprobación de la suficiencia de la justificación dada a la disconformidad para la tramitación de una iniciativa para la afectación directa de los gastos o los ingresos. En el caso de que la negativa del Gobierno resultase manifiestamente infundada, la mesa podría hacer esta constatación, pero sin sustituir al Ejecutivo en el enjuiciamiento que le corresponde. Todo ello, sin perder de vista que la actuación de la mesa de la Cámara se ha de mover en un difícil equilibrio para garantizar el ejercicio de las funciones propias de los parlamentarios —en el caso, la función legislativa de los senadores— y, a la vez, no obstaculizar el ejercicio legítimo de la facultad de veto presupuestario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Senado sostiene que la mesa del Senado controló, en el ejercicio de sus facultades, los requisitos formales del escrito del Gobierno de disconformidad con la proposición de ley. Este fue presentado en plazo, computando lo que coloquialmente se denomina “vacaciones parlamentarias” (art. 69.1 RS en relación con el art. 73.1 CE) y constituye la respuesta expresa del Gobierno en el que se explican las razones (respuesta motivada) por las que la iniciativa legislativa en cuestión supone una disminución de los ingresos presupuestarios previstos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material, la letrada del Senado afirma que la mesa de la Cámara examinó la suficiencia y concreción de los motivos expuestos por el Ejecutivo para oponerse a la tramitación de la proposición de ley, fijando la cuantía estimada de disminución de ingresos presupuestarios para 2022 (203 000 000 €) y especificando la partida presupuestaria afectada (98.01.210). La mesa del Senado comprobó que el Gobierno justificaba su oposición a la tramitación en la intromisión que la proposición de ley presentada supondría en la política económica y presupuestaria que corresponde definir al Gobierno y en la interferencia que la misma provocaría en el límite de gasto no financiero del Estado para el ejercicio 2022 (aprobado el 27 de julio de 2021). Por lo que se refiere a la afectación de la proposición de ley al presupuesto en vigor, la representante de la Cámara señala que, si bien es cierto que la misma retrasaba su vigencia hasta el 1 de enero de 2022, el Gobierno ofreció una serie de datos a tener en cuenta en la medida en que la proposición de ley condicionaba ya la política presupuestaria del Gobierno para el referido ejercicio: los compromisos económicos europeos y la aprobación en el mes de julio de 2021 del límite de gasto no financiero del Estado para 2022. Atendidas estas circunstancias, la mesa del Senado entendió que el criterio del Gobierno era conforme con lo dispuesto en los arts. 134.6 CE y 151 RS y su justificación era suficiente y objetiva, por lo que dio por concluida la tramitación de la referida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Senado concluye que los acuerdos impugnados fueron ajustados a Derecho por cuanto: (i) el primero fue dictado por la mesa del Senado en el ejercicio de sus facultades de calificación y admisión a trámite de escritos y documentos de índole parlamentaria y el segundo dentro de sus competencias de reconsideración de sus acuerdos (art. 36.1 y 2 RS); (ii) la mesa realizó un control formal y material de la manifestación de disconformidad del Gobierno y decidió mostrar su conformidad con el veto presupuestario del Gobierno y no someter a la toma en consideración del Pleno de la Cámara la proposición de ley discutida; y (iii) los acuerdos de la mesa fueron motivados de forma expresa, suficiente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de alegaciones el 5 de mayo de 2022 interesando la estimación del recurso, que se declarara vulnerado el derecho fundamental de los recurrentes al ejercicio en condiciones de igualdad del cargo parlamentario (art. 23.2 CE) y, correlativamente, el derecho de los ciudadanos a participar en los asuntos públicos a través de sus legítimos representantes (art. 23.1 CE) y que se declarara la nulidad de los acuerdos impugnados. En orden al restablecimiento del derecho vulnerado, interesó la retroacción al momento en que la mesa del Senado se pronunció sobre la comunicación por el Gobierno de su criterio contrario a la proposición de ley presentada, al objeto de que se dicte por la mesa un nuevo acuerdo respetuoso con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tras exponer los antecedentes fácticos de los que trae causa el presente recurso de amparo y las alegaciones de las partes, entra en el examen de la vulneración del derecho fundamental al ejercicio del cargo parlamentario (art. 23.2 en relación con el 23.1 CE). Considera que las resoluciones de 14 y 21 de septiembre de 2021 de la mesa del Senado que admiten la disconformidad manifestada por el Gobierno con la tramitación de la proposición de ley (art. 134.6 CE y 151.1 RS) suponen una restricción de la facultad de iniciativa legislativa del grupo parlamentario recurrente. Puesto que la facultad legislativa está integrada en el núcleo esencial del cargo público representativo o ius in officium (STC 242/2006, de 24 de julio, FJ 5), la lesión o limitación ilegítima de esta facultad conlleva la vulneración del derecho de participación política en condiciones de igualdad de los cargos públicos (STC 44/2010, de 26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examen de constitucionalidad de los acuerdos impugnados debe hacerse a la luz de la doctrina constitucional, de acuerdo con la cual y partiendo de la propia autonomía parlamentaria (art. 72 CE) y de la naturaleza del derecho al ejercicio del cargo parlamentario (art. 23.1 CE) como derecho de configuración legal, el control constitucional de estas decisiones ha de ser restrictivo, debiéndose otorgar a los órganos rectores de los parlamentos un margen de apreciación en el ejercicio de su función jurídico técnica, al calificar y decidir sobre los escritos y documentos parlamentarios (STC 242/2006, de 24 de julio, FJ 4). Ello no obstante, esa doctrina constitucional también pone de relieve la posible limitación que las decisiones de los órganos rectores de las cámaras pueden suponer para el ejercicio de la función parlamentaria y, con ello, para el derecho de participación política de los ciudadanos a través de representantes (art. 23.1 y 2 CE). Por ello, se exige que tales limitaciones apliquen la normativa parlamentaria y estén motivadas formal y materialmente. En este sentido, las mesas de los parlamentos tienen como regla general una función de control formal de las iniciativas parlamentarias presentadas, y solo tendrán una función de control material cuando esta resulte de los límites constitucionales o reglamentarios que, en su caso, se impongan a la iniciativa (STC 88/2012, de 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centra el debate en la deficitaria e inadecuada motivación de los acuerdos de la mesa con la consiguiente vulneración de la doctrina constitucional sobre el control material del presupuesto de hecho habilitante. Recuerda que el veto presupuestario tiene por fundamento la confianza concreta dada al Gobierno para la ejecución de su plan anual de política económica, a través de la aprobación parlamentaria de la ley de presupuestos, y por finalidad garantizar la ejecución del programa anual económico del Gobierno (SSTC 223/2006, de 6 de julio, FJ 5, y 242/2006, FJ 3), y ello determina el alcance temporal de la facultad de veto presupuestario (por todas, SSTC 94/2018, de 17 de septiembre, y 53/2021,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del Senado de 21 de septiembre de 2021 se limita a un control meramente formal respecto de la justificación ofrecida por el Gobierno y elude todo control material sobre el presupuesto materialmente habilitante. La mesa asume íntegramente la justificación ofrecida por el Gobierno y considera que el ejercicio del veto presupuestario resulta suficientemente motivado por el hecho de que la proposición de ley de referencia sea susceptible de producir una disminución de los ingresos presupuestarios. La mesa del Senado señala que cualquier otra consideración supondría entrar a discutir los datos y previsiones del Gobierno, realizando un análisis sobre la verificabilidad técnica de la motivación ofrecida por el Ejecutivo, lo que escaparía a las funciones de control liminar que corresponde a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resolución de la mesa desestimatoria de la reconsideración presentada no da respuesta a la alegación central del escrito de reconsideración sobre los límites temporales de la prerrogativa de veto presupuestario a pesar de que la proposición de ley preveía expresamente que su entrada en vigor sería el 1 de enero de 2022 y que la normativa no tendría coste económico en el vigente ejercicio presupuestario, afirmando incluso que la modificación del tipo reducido del IVA aplicable a los servicios de peluquería, barbería y estética supondría incrementar la recaudación del impuesto en el siguiente ejercicio presupuestario por un menor cierre de empresas y disminución del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fiscal considera que los acuerdos impugnados no están debidamente motivados puesto que, asumiendo íntegramente la justificación del Gobierno, la mesa del Senado realiza un mero control de los presupuestos formales sobre la prerrogativa de veto comunicada por el Gobierno, sin consideración alguna sobre la no concurrencia del presupuesto material habilitante que exige que la incidencia de la proposición de ley se produzca de manera directa sobre los presupuestos en vigor, vulnerando así la doctrina constitucional sobre los acuerdos de los órganos rectores de la Cámara (STC 53/2021,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los arts. 2.1 y 2 y 3.1 del acuerdo del Pleno del Tribunal Constitucional de 17 de enero de 2023, publicado en el “Boletín Oficial del Estado” de 19 de enero de 2023, el recurso lo conoce la Sala Segunda de este tribunal al conservar la magistrada la ponencia asignada, lo que fue puesto en conocimiento de las partes mediante diligencia de ordenación de 20 de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septiembre de 2025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posiciones de las partes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amparo tiene por objeto los acuerdos de 14 y 21 de septiembre de 2021 de la mesa del Senado. El primero admite la disconformidad manifestada por el Gobierno con la tramitación de la proposición de ley presentada por el grupo parlamentario recurrente, dando por concluida su tramitación, y el segundo desestima la solicitud de reconsideración de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portavoz y portavoz adjunta del Grupo Parlamentario Popular en el Senado, alegan, en síntesis, que dichos acuerdos vulneraron el ius in officium propio del cargo parlamentario (art. 23.2 CE) y el correlativo derecho de los ciudadanos a participar en las funciones públicas a través de sus representantes (art. 23.1 CE). Argumentan, en esencia, que se limitan a reproducir la justificación del Gobierno para oponer el veto presupuestario a la proposición de ley y adolecen de falta de motivación material, eludiendo, por tanto, su función de control del ejercicio de aquella facultad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Senado solicita la desestimación del recurso de amparo. Afirma que la mesa de la Cámara, en el ejercicio de sus funciones, llevó a cabo un correcto control del escrito de disconformidad del Gobierno; tanto desde una perspectiva formal —escrito presentado en plazo, que ofrece las razones por las que la iniciativa legislativa en cuestión supone una disminución de los ingresos presupuestarios previstos— como desde una perspectiva material mediante el examen de la suficiencia y concreción de los motivos de oposición a la tramitación de la proposición de ley y, en particular, en el extremo relativo a que la proposición de ley condicionaba la política económica del Ejecutivo para el año en curso, a pesar de prever su entrada en vigor el 1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interesa la estimación del recurso de amparo por considerar que los acuerdos impugnados vulneran el ius in officium de los recurrentes; y ello por carecer de la adecuada motivación y realizar un mero control de los requisitos formales de la prerrogativa de veto comunicada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admitido a trámite el recurso y ha identificado como único motivo de especial trascendencia constitucional [art. 50.1 c) LOTC] que el asunto suscitado trasciende del caso concreto porque pudiera tener unas consecuencias políticas generales [STC 155/2009, FJ 2 g)]. Los recursos de amparo de origen parlamentario (art. 42 LOTC), conforme a una reiterada doctrina constitucional,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parlamentarios de calificación y admisión de iniciativas parlamentarias permanecen infiscalizables para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 (entre otras, STC 200/2014,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en materia de veto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en materia de control por parte de las mesas parlamentarias del veto presupuestario del Gobierno se encuentra en numerosas sentencias; entre otras, en las SSTC 53/2021, de 15 de marzo, y 167/2023, de 22 de noviembre, de las que se desprende la necesaria diferencia entre la facultad del Gobierno en relación con el veto presupuestario y, de otro lado, las funciones de control atribuidas a la mesa de las cámaras. En el mismo sentido se ha pronunciado la reciente STC 135/2025, de 11 de junio, FJ 3, y tal distinción se desarrolla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facultades para el ejercicio del veto presupuestario por parte del Gobierno, deben destacarse los elementos relativos al ámbito temporal del veto y la motivación que dicho órgano ejecutivo debe ofrecer.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alcance temporal del veto presupuestario, la disconformidad del Gobierno ha de referirse siempre al presupuesto en vigor en cada momento, en coherencia con el propio principio de anualidad presupuestaria. En consecuencia, el veto presupuestario no podrá ejercerse respecto de presupuestos futuros, que aún no han sido elaborados por el Gobierno ni sometidos por tanto al proceso de aprobación regulado en el art. 134 CE o en el estatuto de autonomía correspondiente, según se trate de la ley de presupuestos generales del Estado o de una ley autonómica de presupuestos. En lo que se refiere a los denominados “ejercicios plurianuales”, si bien es cierto que todo presupuesto está lógica y temporalmente conectado con las cuentas públicas aprobadas en ejercicios anteriores y con las que se prevé elaborar para los ejercicios futuros, no lo es menos que tal conexión plurianual no desnaturaliza el carácter anual del presupuesto, por lo que el ejercicio de la facultad gubernamental de veto presupuestario se restringe, igualmente, a la afectación de una medida al presupuesto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motivación que debe contener la resolución del Gobierno cuando haga uso de la facultad de veto presupuestario, la doctrina de este tribunal recuerda que el Gobierno podrá oponer su veto solo en aquellos casos en los cuales una proposición de ley tenga incidencia directa e inmediata en el presupuesto vigente; esto es, que implique razonablemente un incremento de los créditos o una disminución de los ingresos en el mismo ejercicio presupuestario. La motivación del Gobierno debe expresar tal incidencia, precisando las concretas partidas presupuestarias que se verían afectadas, teniendo en cuenta que el veto presupuestario tiene una incidencia directa sobre la propia función del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facultades de la mesa de la Cámara de control de la facultad de veto del Gobierno —en garantía de los derechos reconocidos en el art. 23 CE— nuestra doctrina ha reiterado que incumbe a las mesas parlamentarias llevar a cabo un control reglado sobre el ejercicio de la facultad del Gobierno, de carácter técnico-jurídico, no pudiendo responder en ningún caso a criterios de oportunidad política. Se trata de un doble control,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primero de ellos, bastará con verificar que el Gobierno ha dado respuesta expresa y motivada, dentro de plazo, a la remisión de la proposición de ley, a los efectos de mostrar su disconformidad, en su caso, en cuanto a la concurrencia del presupuesto de hecho habilitante (aumento de los créditos o disminución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control material, este tribunal ha reconocido a las mesas parlamentarias un margen de aplicación en la interpretación de la legalidad parlamentaria que se puede llevar a efecto mediante un pronunciamiento de la mesa sobre el carácter manifiestamente infundado del criterio del Gobierno; siempre y cuando resulte evidente, a la luz de la propia motivación aportada por este, que no se ha justificado la afectación de los ingresos y gastos contenidos en el propio presupuesto que, en cada ejercicio, cumple la función instrumental a la propia acción de gobierno. En definitiva, la mesa debe verificar la motivación aportada por el Gobierno, pero sin que le corresponda sustituir al mismo en el enjuiciamiento del impacto, sino tan solo constatar que el mismo es real y efectivo, y no una mera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se concreta en la verificación del correcto ejercicio de la función calificadora de la mesa del Senado en relación con la discrepancia manifestada por el Gobierno al amparo de los arts. 134.6 CE y 151.1 RS respecto de la tramitación de la proposición de ley presentada por 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centra en la falta de control de los elementos materiales de la proposición de ley por parte de la mesa del Senado, sin que se plantee ninguna queja acerca del control de sus requisitos formales. Por lo tanto, procede analizar el control ejercido por la mesa del Senado sobre el razonamiento que realiza el Gobierno, acerca del presupuesto de hecho habilitante del ejercicio del veto presupuestario; en otras palabras, determinar si la proposición de ley afecta al presupuesto en vigor, significando un aumento de los créditos o una disminución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presentada por el Grupo Parlamentario Popular recogía, expresamente, que la medida consistente en la reducción del IVA aplicable al 10 por 100 a los servicios de peluquería, barbería y estética no tendría coste económico para el vigente ejercicio presupuestario y preveía, de acuerdo con los datos del sector, un incremento de 140 000 000 € en la recaudación del IVA para el siguiente ejercicio por un menor cierre de empresas y disminución del desempleo. Además, preveía la entrada en vigor de la ley el 1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expresó su disconformidad para la tramitación de la proposición de ley al considerarla susceptible de producir, de acuerdo con sus cálculos, una disminución de ingresos presupuestarios de 203 000 000 €, siendo la partida presupuestaria afectada la 98.01.210.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no fundamenta su oposición a la tramitación en la posible afectación o impacto directo que la iniciativa prevista pudiera tener en el ejercicio presupuestario en vigor, sino que justifica su disconformidad, de manera genérica, en la intromisión que dicha iniciativa supone en la política económica y presupuestaria competencia del Ejecutivo. Desde la perspectiva del alcance temporal del veto presupuestario, el Gobierno se limita a afirmar que la disminución de ingresos en los términos ya expuestos afectaría negativamente al acuerdo firmado el 27 de julio de 2021, por el que se fija el límite de gasto no financiero del Estado para el año 2022 y que sirve, a su vez, para establecer el límite con el que el Gobierno cuenta para elaborar, en el siguiente ejercicio, el proyecto de ley de presupuestos generales del Estado. Por lo tanto, los argumentos expuestos, que no toman en consideración que la entrada en vigor de la ley está prevista para el 1 de enero de 2022, no justifican, como exige la doctrina constitucional en materia de veto presupuestario, que la iniciativa objeto de veto afecte directamente al presupuesto en vigor, suponiendo una disminución de los ingresos o un aumento de los créditos en dicho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del Gobierno fue validado por la mesa del Senado que, en sus acuerdos de 14 y 21 de septiembre de 2021, respectivamente, aceptó el veto presupuestario y lo confirmó desestimando la solicitud de reconsideración planteada frente a la primera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14 de septiembre de 2021 dio por concluida la tramitación de la proposición de ley tras un mero control externo del plazo para el ejercicio de la facultad atribuida al Gobierno, mientras que el acuerdo de 21 de septiembre confirmó dicha decisión prescindiendo de la doctrina constitucional relativa al veto presupuestario invocada en el escrito de reconsideración, en particular en lo relativo a su alcance temporal. En esta última resolución, la mesa de la Cámara apoyó la decisión del Gobierno con fundamento en una jurisprudencia general sobre la función de calificación de las mesas de las cámaras parlamentarias (por todas, SSTC 57/2011 y 88/2012) y consideró que “el Gobierno ha hecho uso de una prerrogativa establecida por la Constitución en su artículo 134.6, sobre la que la mesa de la Cámara no tiene mayor capacidad decisoria que proceder a la tramitación de la disconformidad manifestada, tras comprobar el cumplimiento de los requisitos formales establecidos por la Constitución y el Reglamento del Senado, según la jurisprudencia antes resumida, ya que cualquier otro acuerdo podría impedir el uso de dicha facultad gubernamental”. La mesa del Senado concluyó que el Gobierno había dado una explicación razonada del veto, dando por suficientes los motivos ofrecidos por el Gobierno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mesa del Senado se limitó a asumir íntegramente la justificación ofrecida por el Gobierno y omitió cualquier consideración acerca de la incidencia de la iniciativa en el ejercicio presupuestario en vigor —presupuesto material habilitante de la facultad de veto— contraviniendo la doctrina constitucional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decisión adoptada por la mesa del Senado de inadmitir a trámite la proposición de ley, sin incidencia en el presupuesto en vigor, presentada por el Grupo Parlamentario Popular “constituye una limitación contraria al ejercicio de la vertiente esencial y más genuina del ius in officium de los parlamentarios, como es la del derecho a la iniciativa legislativa y a que las proposiciones de ley presentadas por los grupos parlamentarios puedan ser sometidas al debate de oportunidad política ante el Pleno de la Cámara” (STC 53/2021,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anteriormente expuesto, debe estimarse el recurso [art. 53 a) LOTC] y reconocer que se ha vulnerado el derecho fundamental de los recurrentes al ejercicio del cargo público parlamentario con los requisitos que señalan las leyes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la adopción de las decisiones de la mesa del Senado impugnadas tuvo lugar en una legislatura ya finalizada (XIV Legislatura del Senado), los efectos del amparo han de limitarse al reconocimiento de la vulneración de los derechos fundamentales denunciados y a la declaración de nulidad de los acuerdos parlamentarios impugnados (en este sentido, entre otras, SSTC 107/2001, de 23 de abril, FJ 10; 53/2021, FJ 7, y 167/2023,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don Javier Ignacio Maroto Aranzábal y doña Salomé Pradas Ten, en su propio nombre y en representación de los demás miembros del Grupo Parlamentario Popular en el Senado,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al ejercicio de las funciones representativas con los requisitos que señalan las leyes (art. 23.2 CE), en conexión con el derecho de los ciudadanos a participar en los asuntos públicos a través de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 la mesa del Senado de 14 y de 21 de septiembre de 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