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17 de noviembre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1328-2024, promovido por doña Maite Fernández de Labastida Amurrio, contra la resolución de 15 de junio de 2021 del Instituto Nacional de la Seguridad Social (INSS), recaída en el expediente de nacimiento y cuidado de menor núm. 2360122-2021, y contra la sentencia núm. 170/2024, de 26 de enero, dictada por la Sala de lo Social del Tribunal Supremo en el recurso de casación para la unificación de doctrina núm. 1003-2023, que anuló la sentencia núm. 208/2023, de 24 de enero, dictada por la Sala de lo Social del Tribunal Superior de Justicia del País Vasco en el recurso de suplicación núm. 2078-2022, y confirmó la sentencia núm. 152/2022, de 20 de junio, dictada por el Juzgado de lo Social núm. 1 de Vitoria-Gasteiz en los autos de Seguridad Social núm. 584-2021. Ha sido parte el Instituto Nacional de la Seguridad Social y ha intervenido el Ministerio Fiscal. La ponencia ha recaído en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Maite Fernández de Labastida Amurrio, representada por la procuradora de los tribunales doña María Isabel Torres Ruiz y asistida por la abogada doña Ainhize Muniozguren Ibarguren, interpuso recurso de amparo mediante escrito presentado en el registro electrónico de este tribunal el 26 de febrero de 2024, frente a las resoluciones administrativas y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27 de abril de 2021 la demandante de amparo, madre de un varón nacido el 10 de abril de 2021, del que es padre don Aitor Aguirrebarrena Beldarrain, quien en esa fecha y desde el día 9 de septiembre de 2009 permanecía ingresado en prisión, solicitó al INSS la prestación de nacimiento y cuidado de menor. Por resolución de 27 de abril de 2021, el INSS le reconoció el derecho a la prestación por nacimiento y cuidado de menor durante dieciséis semanas, con efectos desde el nacimiento hasta el 30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el 6 de junio de 2021, la demandante de amparo presentó reclamación previa frente a la anterior resolución, con solicitud de ampliación de la prestación por nacimiento en las dieciséis semanas que legalmente le habrían correspondido al otro progenitor, petición que fue desestimada por el INSS mediante resolución de 15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resolución administrativa, la recurrente interpuso demanda frente al INSS y la Tesorería General de la Seguridad Social (TGSS), en la que alegó la vulneración del art. 14 CE e interesó la ampliación de la prestación en dieciséis semanas adicionales, al entender que ella y su hijo reunían la condición de familia monoparental, por estar el otro progenitor preso en el momento del hecho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dio lugar a los autos de Seguridad Social núm. 584-2021, seguidos ante el Juzgado de lo Social núm. 1 de Vitoria-Gasteiz, y fue desestimada en la sentencia núm. 152/2022, de 20 de junio, por considerar que el caso no era el de una familia monoparental, sino biparental, en la que ni siquiera se constataba el abandono o ignorado paradero del otro progenitor, y sin que el hecho de estar privado de libertad afectase en abstracto a su capacidad de contribuir al sustento familiar a través de la relación laboral especial que podía desarrollarse en la institución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interpuso recurso de suplicación ante la Sala de lo Social del Tribunal Superior de Justicia del País Vasco, en el que argumentó que se trata de una familia monoparental de conformidad con el concepto recogido en el art. 357 del texto refundido de la Ley general de Seguridad Social (LGSS) y que, atendiendo a la doctrina mantenida por la Sala citada, que reconoce el derecho de la familia monoparental a la ampliación de la prestación por nacimiento y cuidado de menor, su denegación conculca el derecho de igualdad que reconoce la Convención sobre los derechos del niño de la Asamblea General de las Naciones Unidas, de 20 de noviembre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estimado por la sentencia núm. 208/2023, de 24 de enero, que consideró que la situación de la trabajadora con su hijo era equiparable a la de una familia monoparental, por lo que en atención al superior interés del menor (arts. 8 del Convenio europeo de derechos humanos y 39 CE) debía beneficiarse del disfrute de la prestación por nacimiento y cuidado que le hubiera correspondido al otro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el INSS y la TGSS interpusieron recurso de casación para la unificación de doctrina, que fue impugnado por la ahora demandante. La Sala de lo Social del Tribunal Supremo, aun partiendo de las diferencias fácticas existentes con relación a los progenitores entre la sentencia recurrida y la sentencia de contraste núm. 3020/2021, de 19 de octubre, dictada por el Tribunal Superior de Justicia de la Comunidad Valenciana en el recurso de suplicación núm. 1563-2021 (ECLI:ES:TSJCV:2021:4451), estimó el recurso y, en consecuencia, casó y anuló la sentencia impugnada, confirmando la sentencia dictada en primera instancia por 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del Tribunal Supremo aplicó la doctrina sentada en la sentencia plenaria núm. 169/2023, de 2 de marzo, dictada en el recurso para la unificación de doctrina núm. 3972-2020 (ECLI:ES:TS:2023:783) y reiterada en otras posteriores, que rechazó en los supuestos de familia monoparental el derecho a acumular la prestación de nacimiento y cuidado de menor que corresponde a la madre y la que hubiera correspondido al otro progenitor de haber existido. Razonó la Sala que la función de jueces y tribunales es interpretar y aplicar las normas, pero no la creación del Derecho; entendió que la norma impugnada no era contraria a la Constitución, sino expresión de la voluntad del legislador tendente al cumplimiento de los principios que rigen en esta materia, para concluir que el derecho de los hijos de las familias monoparentales a ser cuidados en condiciones iguales con respecto a las biparentales exige tener en cuenta que en ellas la prestación del otro progenitor precisa del alta en la Seguridad Social y cobertura de un periodo mínimo de carencia.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alega en su demanda que las resoluciones administrativas y las judiciales que las han confirmado vulneran el derecho a la igualdad y no discriminación amparados en el art. 14 CE, en relación con el art. 39 CE, en tres vertientes: (i) la diferencia de trato existente entre la recurrente y las madres biológicas de familias biparentales carece de justificación objetiva, razonable y proporcionada, al no contar con la trascendencia constitucional del permiso de nacimiento y cuidado de hijo; (ii) la discriminación por razón de nacimiento, pues en atención a las circunstancias personales y familiares se está discriminando al menor nacido en familia monoparental, que cuenta con un número inferior de semanas para ser atendido por sus progenitores, del que disponen los menores nacidos en familias biparentales; y (iii) la discriminación indirecta por razón de sexo debido a que, en la mayoría de las familias monoparentales, la progenitora única es una mujer que resulta perjudicada en comparación con las familias biparentales en cuanto a la duración de las prestaciones por nacimiento de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que se declare la vulneración de los derechos a la igualdad, a la no discriminación directa por circunstancia personal y familiar y a la no discriminación indirecta por razón de sexo, con el efecto de declarar la nulidad de las resoluciones impugnadas y la retroacción de las actuaciones al momento previo al dictado de la resolución del INSS de 15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la Sala Primera del Tribunal Constitucional dictó providencia el 9 de septiembre de 2024, por la cual admitió a trámite la demanda al apreciar que concurría en el recurso una especial trascendencia constitucional [art. 50.1 de la Ley Orgánica del Tribunal Constitucional (LOTC)] como consecuencia de que la posible vulneración del derecho fundamental que se denunciaba pudiera provenir de la ley o de otra disposición de carácter general [STC 155/2009, de 25 de junio, FJ 2 c)]. Asimismo, acordó dirigirse a la Sala de lo Social del Tribunal Supremo, a la Sala de lo Social del Tribunal Superior de Justicia del País Vasco y al Juzgado de lo Social núm. 1 de Vitoria-Gasteiz, para que remitiesen, en plazo que no excediera de diez días, certificación o fotocopia adverada de sus respectivas actuaciones, con indicación al juzgado de que emplazase a quienes hubiesen sido parte en el procedimiento, excepto a la recurrente en amparo,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mediante diligencia de ordenación de 24 de octubre de 2024, se tuvo por personadas y parte a las entidades gestoras de la Seguridad Social, representadas por la letrada de la Administración de la Seguridad Social, y se acordó, conforme a lo dispuesto en el art. 52.1 LOTC, dar vista de las actuaciones a las partes personadas y al Ministerio Fiscal por un plazo común de veinte días, a fin de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presentó escrito el 14 de noviembre de 2024, en el que reprodujo la demanda de amparo e interesó la aplicación de la doctrina sostenida en la STC 140/2024, de 6 de noviembre. Adicionalmente, para el caso de que el Tribunal lo considerara oportuno, interesó que elevara una cuestión interna de constitucionalidad, debido a que su recurso incluía alguna cuestión distinta a las resueltas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19 de noviembre de 2024 la letrada de la Administración de la Seguridad Social presentó escrito de alegaciones en el que ratificó las que defendió a lo largo de todo el proceso judicial, si bien, a la vista de lo resuelto por el Tribunal Constitucional en la STC 140/2024, de 6 de noviembre, adujo que el reconocimiento de las diez semanas adicionales al permiso disfrutado por la progenitora de la familia monoparental debía quedar supeditado al cumplimiento del resto de los requisitos legalmente establecidos para el percibo de la prestación, entre los que se incluye el de haber hecho efectivo el descanso, sin prestación de servicios y sin percibo de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su escrito presentado el 10 de diciembre de 2024, interesó la estimación del recurso y, en consecuencia: (i) la declaración de vulneración del derecho de la recurrente y de su hijo a la igualdad sin discriminación por razón de nacimiento (art. 14 CE); (ii) el restablecimiento de su derecho, con declaración de nulidad de la sentencia núm. 170/2024, dictada por la Sala de lo Social del Tribunal Supremo en el recurso para la unificación de doctrina núm. 1003-2023; y (iii) la retrotracción de las actuaciones al momento previo al dictado de la sentencia de casación, para que el Tribunal Supremo dicte sentencia conforme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argumentó que la STC 140/2024, de 6 de noviembre, resolvió la cuestión de inconstitucionalidad núm. 6694-2023 y declaró la inconstitucionalidad, por omisión, del art. 48.4 de la Ley del estatuto de los trabajadores (LET) y del art. 177 LGSS, por vulneración del derecho reconocido en el art. 14 CE, con relación al art. 39 LET, y ofreció una interpretación provisional de aquellos preceptos para que su aplicación no siguiera produciendo la vulneración del art. 14 CE. Concluyó que, al haber otorgado la Sala de lo Social del Tribunal Superior de Justicia del País Vasco una ampliación que excedía en seis semanas la prevista en la STC 140/2024, procedía la estimación parcial del recurso de casación en los términos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13 de noviembre de 2025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es dilucidar si la sentencia de la Sala de lo Social del Tribunal Supremo, que anuló la sentencia estimatoria dictada en recurso de suplicación y confirmó la sentencia de primera instancia y, por tanto, la resolución administrativa del INSS denegatoria de la ampliación de la prestación de nacimiento y cuidado de hijo menor durante el periodo que hubiera correspondido al progenitor privado de libertad desde el año 2009, ha generado a la demandante una discriminación contraria al art. 14 CE, en relación con el art. 39 CE, al declarar que en las familias monoparentales no procede acumular la prestación por nacimiento y cuidado de menor, al no estar así previsto en la normativa aplicable (art. 48.4 LET, en relación con el art. 177 LGSS, en la redacción dada por el Real Decreto-ley 6/2019,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los antecedentes, la recurrente sostiene que el permiso por nacimiento y cuidado de menor, además de responder a la necesidad de proteger la salud de la madre biológica, persigue hacer efectivo el deber constitucional de los padres de prestar asistencia de todo orden a los hijos menores (art. 39.3 CE); de contribuir a la efectividad del principio rector de la política de protección social, económica y jurídica de la familia, con independencia del tipo de familia de que se trate (art. 39.1 CE), y de garantizar la protección de la infancia (art. 39.4 CE), para concluir que su denegación, derivada de la inexistencia de otro progenitor y apoyada en una interpretación formalista y restrictiva del art. 48.4, segundo párrafo, LET, contraviene el art. 14 CE porque carece de justificación razonable y proporcionada y aparece desconectada de los valores recogidos en nuestra Constitución y en los acuerdos internacionales que velan por los derechos de los menores. Solicita asimismo que sea aplicada la doctrina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INSS por su parte se opone a la concesión del amparo, dado el carácter biparental de la familia, derivado de la existencia de otro progenitor que no cumple con los requisitos exigidos por la norma para acceder a la prestación solicitada. No obstante, a la vista de lo resuelto en la STC 140/2024, interesa que, en el supuesto de estimación del recurso, se dicte sentencia en los términos señalados en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solicita la estimación del amparo por considerar que la doctrina constitucional específica fijada en la STC 140/2024 es directamente aplicable a este recurso y que la declaración de inconstitucionalidad del art. 48.4 LET provoca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fijada en la STC 140/2024, de 6 de noviembre, y su aplicabilidad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relativa a las madres biológicas de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estimatoria de la cuestión de inconstitucionalidad planteada por la Sala de lo Social del Tribunal Superior de Justicia de Cataluña, declaró inconstitucionales los arts. 48.4 LET y 177 LGSS, sin llevar aparejada su nulidad (FJ 7), al apreciar que pese al amplio margen de libertad en la configuración del sistema de Seguridad Social que nuestra Constitución reconoce al legislador,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prever los arts. 48.4 LET y 177 LGSS la posibilidad de que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FJ 7, concluyó que, en tanto el legislador no llevase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el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Inexistencia de identidad de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resolver si la doctrina expuesta se aplica a este recurso, es preciso determinar si nos encontramos ante una familia monoparental en la conceptualización acuñada por este tribunal cuando concluye que los preceptos cuestionados son inconstitucionales por omisión, pues fueron las específicas circunstancias en ella concurrentes las evaluadas en la aplicación del canon de constitucionalidad del derecho de igualdad sin discriminación, y que determinaron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formulación de la familia monoparental que se abordó en la STC 140/2024, por contraposición a la de la familia biparental, es la de aquella en la que existe un solo progenitor, la madre biológica del menor, a quien asiste el derecho a la prestación por nacimiento y cuidado del hijo al cumplir los requisitos de alta y cotización exigidos en la Ley general de la Seguridad Social. La sentencia recordó que la duda de constitucionalidad planteada partía del cumplimiento de esas exigencias legales y concluyó que, una vez satisfechas, la norma provocaba una desigualdad de trato entre los menores nacidos en familias monoparentales y biparentales, en tanto los primeros podrían disfrutar de un período de tiempo de cuidado de sus progenitores nada más nacer sustancialmente menor que los segundos. El cumplimiento de los requisitos de alta y cotización solo podía exigirse a la madre biológica, cuya prestación era la que pretendía ampliarse, pues se partía del supuesto de inexistencia de otro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definición de familia monoparental es a la que se refiere la doctrina constitucional sentada en la STC 140/2024, y a la que exclusivamente se extienden las consecuencias derivadas de la declaración de inconstitucionalidad, por omisión, del art. 48.4 LET, previstas en el fundamento jurídico 7, dado el carácter excepcional de la integración normativa adoptada como solución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al legislador a quien, en uso de su libertad de configuración normativa y a la luz de su legitimidad democrática (por todas, STC 273/2005, de 27 de octubre, FJ 9), corresponde delimitar el concepto de familia monoparental y delimitar los supuestos que comprende, sin que hasta la fecha lo haya abordado ninguna norma estatal. La reforma acometida por el Real Decreto-ley 9/2025, de 29 de julio, tampoco ha extendido el concepto de familia monoparental a supuestos distintos al referido en la STC 140/2024. Esta normativa de urgencia, que respondió —entre otros motivos— a la necesidad de adecuar el permiso de nacimiento y cuidado de menor al fallo de la STC 140/2024, y de ampliarlo en favor de las unidades familiares monoparentales, las identifica como aquellas en las que existe una única persona progenitora (art. 48.4, segundo párrafo, LET) o una única persona adoptante, guardadora con fines de adopción o acogedora (art. 48.5, segundo párrafo, LET), pero sin extenderlas a otros casos en los que, existiendo otro progenitor, solo uno conviva y sustente al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esa extensión sí se contempla en la regulación de otros subsidios como la prestación económica por nacimiento o adopción de hijo en supuestos de familias numerosas, monoparentales y de madres o padres con discapacidad, regulada en la sección sexta del capítulo I del título VI de la LGSS, cuyo art. 357.2, segundo párrafo, dispone que “[s]e entenderá por familia monoparental la constituida por un solo progenitor con el que convive el hijo nacido o adoptado y que constituye el sustentador único de la familia”. Sin embargo, a diferencia de la ahora examinada, dicha prestación es de naturaleza no contributiva.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Descartada la aplicación directa de la doctrina contenida en la STC 140/2024 por no encontrarnos ante el mismo caso de madre biológica de familia monoparental, es preciso analizar si entre aquel supuesto y el que es objeto del presente recurso de amparo existe la necesaria identidad de razón para justificar la aplicación de aquella doctrina, como ha sido declarado en los casos de familia monoparental por adopción (STC 123/2025, de 26 de mayo, FJ 2) o por acogimiento permanente (STC 140/2025, de 7 de julio, FJ 2). En ambos, el Tribunal ha entendido que el reproche dirigido a la omisión del legislador, por introducir una diferencia de trato entre los nacidos en familias biparentales y los nacidos en familias monoparentales, era igualmente predicable en esas dos situaciones, que además estaban específicamente previstas en el art. 177 LGSS al regular “la prestación por nacimiento y cuidado de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jurídico 5 de la STC 140/2024 parte de la constatación de una diferencia de trato entre situaciones que eran sustancialmente iguales, ya que la duración e intensidad de la necesidad de atención y cuidado de un recién nacido es la misma con independencia del modelo familiar en el que hubiera nacido, siendo esa diferencia relevante desde la perspectiva de una de las finalidades que perseguía la norma, consistente en facilitar la conciliación de la vida laboral y familiar, a fin de que los progenitores pudieran prestar a sus hijos los cuidados y atención que necesitan nada más nacer. La sentencia añade que la sustancial identidad de las necesidades de cuidado que tiene cualquier recién nacido determina que la norma, cuya constitucionalidad se cuestionaba, provocara una diferencia de trato entre los menores nacidos en una familia monoparental y los nacidos en una familia biparental, en tanto que, en el primer caso, solo podrían recibir los cuidados de su madre biológica por un período máximo de dieciséis semanas (ampliable en los supuestos previstos en la ley) mientras que, en el segundo caso, podrían recibir también los cuidados del otro progenitor por idéntico período de tiempo (también ampliable cuando así lo previera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este tribunal ha admitido que los motivos de discriminación previstos en el art. 14 CE pueden ser utilizados excepcionalmente como criterio de diferenciación jurídica (entre otras, SSTC 90/1995, de 9 de junio, FJ 4; 126/1997, de 3 de julio, FJ 8, y 13/2001, de 29 de enero, FJ 8), cuando se trata de características expresamente excluidas como causas de discriminación ha exigido un canon de control de la legitimidad y proporcionalidad de la diferencia más estricto que el requerido cuando solo está en juego el principio genérico de igualdad. En estos casos, en los que no se postula ni pretende la paridad, basta que la diferencia normativa sea razonable [por todas, STC 200/2001, de 4 de octubre,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la STC 140/2024, la diferencia de trato normativa examinada tenía su origen en una de las razones de discriminación previstas en nuestra Constitución, pues derivaba del modelo de familia monoparental a la que pertenecía el menor, teniendo vedada, por esa causa, la posibilidad de disfrutar de veintiséis semanas de cuidados “retribuidos”. Esa circunstancia no se da en el caso de los menores nacidos en las familias biparentales, en las que los dos progenitores tienen una expectativa de suspensión del contrato de trabajo y prestación por nacimiento y cuidado de hijo, que se podrá materializar si se cumplen las condiciones de disfrute de la prestación. Ambos progenitores están, en abstracto y como regla general, en disposición de cumplir las condiciones de acceso a la prestación, y es a este supuesto general al que se refiere la regulación existente. Las concretas situaciones personales, familiares y profesionales que, deliberadamente elegidas o circunstancialmente asumidas, puedan existir en cada familia biparental son muy diversas y condicionan la posibilidad de disfrutar del periodo retribuido de cuidado. De este modo, la mayor o menor duración del periodo de tiempo que un menor nacido en una familia biparental puede disfrutar del cuidado —retribuido— de sus progenitores, adoptantes o acogedores respecto de otro menor también nacido en familia biparental, vendrá determinada por el cumplimiento de los requisitos de alta en la Seguridad Social y cotizaciones exigidos por la normativa vigente en cada momento y aplicable a cada persona trabajadora (arts. 165.1 y 177 a 180 LGSS), pero no obedece a los motivos de discriminación que el art. 14 CE proscribe. La diferente extensión del periodo de cuidado retribuido del menor no está supeditada a una condición de nacimiento, ni a ninguna otra circunstancia o característica personal o social que, históricamente, por la práctica social o por la acción de los poderes públicos, haya situado a un amplio sector de la sociedad en una situación desventajosa. Responde, exclusivamente, al grado de cumplimiento de los requisitos legales de acceso a una prestación contributiva que, potencialmente, ambos progenitores están en condiciones de satisfacer.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estricto canon aplicado respecto a la diferencia de trato en el supuesto resuelto en la STC 140/2024 da paso, en el presente caso, al canon de razonabilidad exigido por el principio genérico de igualdad, pues el origen de la diferencia de trato del menor no radica en el modelo de familia donde nace, sino en la naturaleza individual y contributiva de la prestación de nacimiento y cuidado de cada uno de sus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del derecho a la igualdad en el ámbito de las prestaciones de seguridad social. Enjuiciamiento del caso y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ha reiterado que el derecho que los ciudadanos ostentan en materia de seguridad social es un derecho de estricta configuración legal y que el legislador dispone de libertad para modular la acción protectora del sistema, en atención a circunstancias económicas y sociales que son imperativas para su viabilidad y eficacia. Ha razonado que el amplio margen de libertad que este tribunal reconoce al legislador en relación con las prestaciones sociales (art. 41 CE) responde al hecho de tratarse de recursos económicos necesariamente escasos, en conexión con las circunstancias económicas, las disponibilidades del momento y las necesidades y deberes de los grupos sociales. También ha señalado que la libertad del legislador está sometida al necesario respeto de los principios constitucionales y, por ende, a las exigencias del principio de igualdad y no discriminación; y que, aun cuando la identidad en el nivel de protección de todos los ciudadanos pueda constituir algo deseable desde el punto de vista social, cuando las prestaciones derivan de distintos sistemas o regímenes, cada uno con su propia normativa, no constituye un imperativo jurídico, ni vulnera el principio de igualdad (SSTC 197/2003, de 30 de octubre, FJ 3; 213/2005, de 21 de julio, FJ 3, y 172/2021, de 7 de octubre, FJ 3, y las citadas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permiso y la prestación por nacimiento y cuidado de hijo ahora examinados, ante una misma necesidad de atención del menor respecto de una persona progenitora trabajadora, el legislador prevé el cumplimiento de una serie de requisitos para acceder a ellos, y lo hace en el marco del amplio margen de apreciación y configuración del que goza en el régimen de prestaciones económicas de la Seguridad Social, de forma razonable y proporcionada a su finalidad. El fin de la prestación es permitir la suspensión del contrato de trabajo del progenitor o la progenitora y garantizarles una prestación acorde con el salario que van a dejar de percibir, para responder, entre otras finalidades, a las necesidades de cuidado y atención del menor. En correspondencia con ello, el derecho a la prestación se condiciona al alta, o situación asimilada al alta, de la persona beneficiaria (art. 168 LGSS) y a la acreditación de periodos mínimos de cotización, distintos en función de su edad (art. 178.1 LGSS), requisitos que justifican la inserción de la persona beneficiaria en el mercado laboral y responden a la naturaleza contributiva de la prestación. La norma también regula un supuesto especial para los casos de personas beneficiarias que, formando parte del mercado laboral en la fecha de nacimiento del menor, no reúnan el requisito de cotización previa (arts. 181 y 182 LGSS), permitiendo equilibrar la finalidad del permiso de nacimiento y cuidado del menor, con la naturaleza contributiva de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no prevé la norma son supuestos excepcionales en los que las circunstancias personales del progenitor hacen especialmente difícil su integración en la esfera laboral, o pueden afectar al efectivo disfrute del permiso de nacimiento y cuidado de menor, como puede darse en casos como el presente, de internamiento en centro penitenciario, o análogos, como los de permanencia de alguno de los progenitores en centros sanitarios o sociosanitarios.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esos supuestos aislados a los que no alcanza la ley no pueden justificar una inconstitucionalidad por omisión pues, como se ha recordado con anterioridad, “la pretensión de racionalidad las leyes se proyecta sobre la normalidad de los casos, sin que baste la aparición de un supuesto no previsto para determinar su inconstitucionalidad” (SSTC 73/1996, de 30 de abril, FJ 5; 289/2000, de 30 de noviembre, FJ 6; 47/2001, de 15 de febrero, FJ 7; 212/2001, de 29 de octubre, FJ 5; 21/2002, de 28 de enero, FJ 4; 193/2004, de 4 de noviembre, FJ 3; 255/2004, de 23 de diciembre, FJ 4; 111/2006, de 5 de abril, FJ 8, y 113/2006, de 5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FJ 5, reiteró la doctrina constitucional consolidada “según la cual ‘el enjuiciamiento de la constitucionalidad de las leyes debe hacerse tomando en consideración el caso normal, esto es, el que se da en la generalidad de los casos del supuesto normativo’ (SSTC 83/2014, de 29 de mayo, FJ 6; 100/2017, de 20 de julio, FJ 6, y 289/2000, de 30 de noviembre, FJ 6)”, y que “[u]na cosa es que, conforme a nuestra doctrina, no pueda declararse la inconstitucionalidad de una norma por la circunstancia de que incurra en la vulneración del art. 14 CE ‘en supuestos puntuales’ (SSTC 47/2001, de 15 de febrero, FJ 7; 212/2001, de 29 de octubre, FJ 5; 21/2002, de 28 de enero, FJ 4, y 255/2004, de 23 de diciembre, FJ 4), y otra muy distinta es que deba declararse la conformidad con la Constitución de una norma que establece, en la generalidad de los casos, una diferencia de trato que podría ser discriminatoria (entre otras, STC 295/2006, de 11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ahora aplicable, cuya constitucionalidad cuestiona la parte recurrente, regula el acceso a la prestación contributiva por nacimiento y cuidado, que exige a cada progenitor, de forma individual, una serie de requisitos que están, general y mayoritariamente, en disposición de cumplir, no pudiendo declararse su inconstitucionalidad por el hecho de que en algún caso aislado los progenitores no puedan atender directamente al menor o no reúnan los requisitos para acceder a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legislador en un Estado social y democrático de Derecho, a la luz de los principios rectores de la política social y económica recogidos en los arts. 39, 41 y 50 CE, que han de informar la legislación positiva (STC 197/2003, de 30 de octubre, FFJJ 3 y 6), valorar, en su caso, esos supuestos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haber causado las resoluciones impugnadas la discriminación invocada por la recurrente en los términos previstos en el art. 14 CE, procede acordar la desestimación del presente recurso de amparo, sin necesidad de plantear una cuestión interna de inconstitucionalidad (art. 55.2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Maite Fernández de Labastida Amurrio.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