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17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2523-2025, promovido por doña Susana Campillo Gallego, representada por el procurador de los tribunales don Francisco Inocencio Fernández Martínez y asistida por la letrada doña María Toledo Palomares, frente a las resoluciones del Instituto Nacional de la Seguridad Social (INSS) de 8 y de 29 de marzo de 2022, que denegaron la solicitud de ampliación de la prestación por nacimiento y cuidado de menor en una familia monoparental, y la reclamación previa formulada frente a ella, así como frente al auto de la Sala de lo Social del Tribunal Supremo de 26 de febrero de 2025, que inadmitió a trámite el recurso de casación para la unificación de doctrina núm. 2518-2024, interpuesto contra la sentencia núm. 47/2024, de10 de enero, dictada por la Sala de lo Social del Tribunal Superior de Justicia de la Comunidad Valenciana, que desestimó el recurso de suplicación núm. 724-2023 interpuesto contra la sentencia núm. 233/2022, de 9 de septiembre, dictada por el Juzgado de lo Social núm. 9 de Valencia en los autos núm. 429-2022. Han intervenido la letrada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abril de 2025, doña María Nieves Saiz Aznar, designada provisionalmente como procuradora del turno de oficio para asumir la representación procesal de doña Susana Campillo Gallego, interpuso recurso de amparo frente a las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16 de diciembre de 2021, con la que forma una familia monoparental, presentó solicitud de prestación por nacimiento y cuidado de menor como madre biológica, así como una ampliación por el periodo que le hubiera correspondido al otro progenitor de conformidad con el art. 48.4 del texto refundido de la Ley del estatuto de los trabajadores, aprobado por el Real Decreto Legislativo 2/2015, de 23 de octubre (LET), en la redacción dada por el Real Decreto-ley 6/2019, de 1 de marzo, de medidas urgentes para garantía de la igualdad de trato y de oportunidades entre mujeres y hombres en el empleo y la ocupación. Por resolución de 8 de marzo de 2022 se le denegó su solicitud de ampliación de la prestación al no encontrarse la solicitante en ninguna de las situaciones protegidas legalmente. Formulada reclamación previa, la misma fue desestimada por el INSS mediante resolución de 29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dando lugar a los autos de Seguridad Social núm. 429-2022, seguidos ante el Juzgado de lo Social núm. 9 de Valencia. Por sentencia núm. 233/2022, de 9 de septiembre, el juzgado desestimó la pretensión de la actora partiendo del carácter profesional y contributivo de la prestación reclamada y de la necesidad de que su beneficiario cumpliera determinas exigencias previstas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la actora recurso de suplicación núm. 724-2023, basado en la infracción de los arts. 14 y 39 CE, siendo impugnado de contrario. El recurso fue desestimado por la sentencia núm. 47/2024, de 10 de enero, dictada por la Sala de lo Social del Tribunal Superior de Justicia de la Comunidad Valenciana, que confirmó la sentencia de instancia aplicando la doctrina unificada sentada por el pleno de la Sala de lo Social del Tribunal Supremo, en su sentencia núm. 169/2023, de 2 de marzo (ECLI:ES:TS:2023:783).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núm. 2518-2024, inadmitido a trámite por auto dictado por la Sala de lo Social del Tribunal Supremo de 26 de febrero de 2025, por falta de firmeza de la resolución aportada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denuncia que las resoluciones administrativas y judiciales impugnadas le han ocasionado, a ella y a su hija, una discriminación contraria al art. 14 CE, en relación con el art. 39 CE, al aplicar los arts. 48.4 LET y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 Se alega una discriminación por razón de nacimiento y del estado civil, por el diferente trato recibido por ser integrante de una familia monoparental. En tal sentido, se señala que en las familias monoparentales el tiempo de cuidado de los menores por parte de sus progenitores es más reducido que en el caso de hijos nacidos en familias biparentales, viéndose también afectados los derechos al desarrollo de la libre personalidad y a la libertad ideológica (art. 16 CE). De no apreciarse la referida discriminación, habría existido, en todo caso, una vulneración del derecho a la igualdad ante la ley, al basarse las decisiones recurridas en una interpretación carente de justificación objetiva y razonable. La reducción del tiempo de cuidados en una familia monoparental no es acorde con el principio general de igualdad. También se considera concurrente una discriminación indirecta por razón de sexo ya que en la mayoría de las familias monoparentales el progenitor único es la mujer. Después se transcribe parte de la STC 47/2025, de 24 de febrero, que aplica la doctrina de la STC 140/2024, de 6 de noviembre, que declara la inconstitucionalidad de los preceptos aplicados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2025, la Sección Cuarta de este tribunal acordó la admisión a trámite del presente recurso de amparo, apreciando que concurría en el mismo una especial trascendencia constitucional [art. 50.1 de la Ley Orgánica del Tribunal Constitucional (LOTC)], toda vez que la posible vulneración del derecho fundamental que se denunciaba podía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ordenó requerir a la Sala de lo Social del Tribunal Supremo y a la Sala de lo Social del Tribunal Superior de Justicia de la Comunidad Valenciana a fin de que, en un plazo que no excediera de diez días, remitiesen certificación o fotocopia adverada de las actuaciones correspondientes al recurso de casación para la unificación de doctrina núm. 2518-2024 y al recurso de suplicación núm. 724-2023, respectivamente. Asimismo, se acordó dirigir atenta comunicación al Juzgado de lo Social núm. 9 de Valencia a fin de que, en un plazo que no excediera de diez días, se remitiese certificación o fotocopia adverada de las actuaciones correspondientes a los autos núm. 429-2022,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24 de julio de 2025, se personó en concepto de parte recurrida en este recurso de amparo la letrada de la Administración de la Seguridad Social en nombre del INSS y de la Tesorería General de la Seguridad Social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julio de 2025 se designó por el Colegio de Procuradores de Madrid a don Francisco Inocencio Fernández Martínez para actuar como procurador de doña Susana Campillo Gallego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 de septiembre de 2025 de la Secretaría de Justicia de la Sala Segunda de este tribunal, se acordó: (i) tener por designado por el turno de oficio al procurador don Francisco Inocencio Fernández, en nombre y representación de doña Susana Campillo Gallego, acordándose tener con él las sucesivas actuaciones; (ii) tener por personada y parte a la letrada de la Administración de la Seguridad Social, en nombre y representación del INSS y de la TGSS, y (iii) a tenor de lo dispuesto en el art. 52 LOTC, dar vista de las actuaciones del presente recurso por un plazo común de veinte días a las partes personadas y al Ministerio Fiscal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septiembre de 2025, tuvo entrada en el registro de este tribunal escrito por el que la letrada de la Administración de la Seguridad Social manifestó que se allanaba a las pretensiones del recurso de amparo invocando, a tales efectos, la instrucción núm. 10-2024, de 23 de diciembre, de autorización del secretario de Estado de la Seguridad Social y Pensiones al servicio jurídico delegado central en el INSS, de allanamiento en los recursos de amparo pendientes ante el Tribunal Constitucional afectados por la sentencia del Pleno de 6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septiembre de 2025, el fiscal presentó su escrito de alegaciones interesando la estimación del recurso de amparo por vulneración del derecho fundamental de igualdad ante la ley y no discriminación por razón de nacimiento (art. 14 CE), de conformidad con lo resuelto en la STC 140/2024, de 6 de noviembre, que declaró la inconstitucionalidad por omisión de los arts. 48.4 LET y 177 LGSS. El fiscal entiende que, en este caso, procede acordar la nulidad de las resoluciones administrativas y judiciales impugnadas, retrotrayéndose las actuaciones a la vía administrativa para que se dicte por el INSS una nueva resolución sobre la petición de ampliación de la prestación que resulte acorde con la doctrina establecida en la STC 140/2024 y respetuosa con el derecho fundamental a la no discriminación por razón de nacimiento en familia monoparental (art. 14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 de octubre de 2025, la representación procesal de la recurrente en amparo presentó escrito ratificando la pretensión de la demanda y solicitando que se dicte una sentencia otorgando el amparo de conformidad con lo resuelto por la STC 140/2024, de 6 de noviembre, recaída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 de octubre de 2025 de la Secretaría de Justicia de la Sala Segunda se acordó incorporar a lo actuado los anteriores escritos presentados por las partes personadas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13 de noviembre de 2025,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es preciso remitirse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tal y como interesa la demandante de amparo y el Ministerio Fiscal, de las resoluciones del Instituto Nacional de la Seguridad Social recurridas, así como de las resoluciones judiciales que las confirmaron. La retroacción ha de hacerse, en consecuencia, al momento inmediatamente anterior al dictado de las citadas resoluciones administrativas que denegaron la pretensión de la actora para que sea el Instituto Nacional de la Seguridad Social el que dicte una nueva resolución que resulte acorde con lo declarado en la STC 140/2024, de 6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Susana Campillo Gallego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el auto de la Sala de lo Social del Tribunal Supremo de 26 de febrero de 2025, que inadmitió a trámite el recurso de casación para la unificación de doctrina núm. 2518-2024; (ii) la sentencia núm. 47/2024, de 10 de enero, de la Sala de lo Social del Tribunal Superior de Justicia de la Comunidad Valenciana, que desestimó el recurso de suplicación núm. 724-2023; (iii) la sentencia núm. 233/2022, de 9 de septiembre, del Juzgado de lo Social núm. 9 de Valencia, recaída en los autos núm. 429-2022; y (iv) las resoluciones del Instituto Nacional de la Seguridad Social de 8 de marzo de 2022 y de 29 de marzo de 2022, denegatorias de la ampliación del permiso por nacimiento y cuidado de hija menor a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mencionadas en el apartado anterior, para que el Instituto Nacional de la Seguridad Social dicte una resolución que resulte respetuosa con el derecho fundamental reconocido a la recurrente,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