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4202-2000,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julio de 2000 fue registrado en este Tribunal oficio de fecha 7 de julio de 2000, remitido por la Sala de lo Contencioso-Administrativo (Sección Segunda) del Tribunal Superior de Justicia del País Vasco, al que se adjuntaba, entre otros testimonios, el del Auto del mismo órgano judicial, de 31 de mayo de 2000,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4202-2000, deriva del recurso contencioso-administrativo interpuesto por don Fernando García Alcubilla contra la Resolución del Alcalde-Presidente del Ayuntamiento de San Sebastián de 2 de abril de 1996, por la que se impone el pago de 28.715.496 pesetas en concepto de adquisición del 15 por 100 del aprovechamiento urbanístico para la obtención de licencia de obras de construcción de edificio de viviendas, garajes y locales comerciales en el Paseo de Miraconcha, núm. 19. En la demanda formulada en aquel proceso el recurrente había alegado que no procedería la cesión del 15 por 100 del aprovechamiento urbanístico impuesta por la resolución impugnada, dada la declaración de inconstitucionalidad (llevada a cabo por la STC 61/1997, de marzo) de los preceptos del texto refundido de la Ley sobre el régimen del suelo y ordenación urbana, aprobado por Real Decreto Legislativo 1/1992, de 26 de junio (LS de 1992), que preveían dicha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 Administrativo del Tribunal Superior de Justicia del País Vasco dictó providencia de 17 de noviembre de 1999,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2000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27 de diciembre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del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4104-1999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11 de enero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11 de enero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los Servicios Jurídico-Centrales de la Administración de la Comunidad Autónoma del País Vasco presentó su escrito de alegaciones el 12 de enero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23 de enero de 2001, el Presidente en funciones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24 de enero de 2001 la Presidenta del Senado comunicaba que la Mesa de la Cámara había acordado solicitar que se tuviera a la Cámara por personada en este proceso y ofrecer su colaboración a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deliberación y votación de la presente cuestión de inconstitucionalidad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ha sido ya resuelta con un pronunciamiento desestimatorio por este Tribunal en la reciente STC 178/2004, de 21 de octubre.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En lo demás debemos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4202-2000.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