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958-2002, promovido por don Pablo Muriel Urdinguio, representado por el Procurador de los Tribunales don Antonio Piña Ramírez y bajo la dirección de la Letrada doña Paloma Hidalgo Icaza, contra la Sentencia de la Sección Decimoséptima de la Audiencia Provincial de Madrid de 5 de diciembre de 2001, recaída en el rollo de apelación núm. 379-2001, que estima el recurso de apelación interpuesto contra la Sentencia del Juzgado de Instrucción núm. 6 de Madrid de 27 de abril de 2001, recaída en juicio de faltas núm. 325-2001, sobre faltas de maltrato de obra, amenazas y contra la propiedad.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21 de febrero de 2002, el Procurador de los Tribunales don Antonio Piña Ramírez, en nombre y representación de don Pablo Muriel Urdinguio, y bajo la dirección de la Letrada doña Paloma Hidalgo Icaza,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Instrucción núm. 6 de Madrid de 27 de abril de 2001 de las faltas de maltrato de obra, amenazas y contra la propiedad de las que fue acusado por el Ministerio Fiscal y su esposa, considerando que los hechos relatados en la denuncia no habían quedado acreditados por los diversos testimonios vertidos en la vista del juicio de faltas.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contra la absolución por las faltas de maltrato de obra y amenazas, fundamentado en errónea apreciación de la prueba, que fue estimado, sin celebración de vista, por Sentencia de la Sección Decimoséptima de la Audiencia Provincial de Madrid de 5 de diciembre de 2001, condenando al recurrente como autor de ambas faltas a sendas multas de 20 y 30 días con una cuota diaria de 200 pesetas y a permanecer alejado de la denunciante durante un plazo de seis meses. La Sentencia de apelación, modificando la declaración de hechos probados de la Sentencia apelada, consideró acreditado que el acusado desde la firma del convenio regulador de su separación matrimonial había estado amenazando a la denunciante directamente o por teléfono con expresiones del tipo de "te voy hacer desparecer del mapa" o "te voy a dar de hostias" y que el día 29 de enero de 2001 cuando acudió al domicilio de la denunciante a devolver a su hijo la empujó y tiró al suelo violentamente sin causarle ninguna lesión. La Sentencia fundamentó esta modificación en que si bien el juzgador no había dado credibilidad alguna a los testimonios de la denunciante y del testigo, otorgando una verosimilitud integral a la versión del denunciado, sin embargo, "queda probado que Pablo ha venido amenazando a Isabel ... por las siguientes razones 1) Isabel lo manifestó así tanto en el momento de la denuncia como en el del juicio. 2) lo corroboró su hermana también sin vacilaciones ni contradicciones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la vulneración del derecho a la presunción de inocencia (art. 24.2 CE) por haber sido condenado en segunda instancia, tras una previa absolución, con fundamento, exclusivamente, en una nueva valoración sobre la credibilidad de pruebas testificales que no habían sido practicadas con la debida inmediación ante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9 de junio de 2003,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trámites oportunos, se dictó por la Sala Primera de este Tribunal el ATC 247/2003, de 14 de julio, acordando denegar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11 de julio de 2003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1 de septiembre de 2003, presentó alegaciones en las que reitera en esencia las desarrolladas en el escrito de interposición de la demanda.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24 de julio de 2003, interesó el otorgamiento del amparo, por vulneración de los derechos a un proceso con todas las garantías y a la presunción de inocencia, y la anulación de la Sentencia recurrida, argumentando que la condena se ha producido en la segunda instancia, tras una absolución previa, revisando y corrigiendo la valoración realizada por el órgano judicial de primera instancia de pruebas testificales sin observar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27 de enero de 2005, se señaló para deliberación y fallo de la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del derecho a la presunción de inocencia (art. 24.2 CE), plantea de nuevo ante este Tribunal la cuestión de las condenas en segunda instancia, tras la revocación de una previa absolución, fundamentadas en la valoración de pruebas personales no practicadas ante el órgano de apelación.</w:t>
      </w:r>
    </w:p>
    <w:p w:rsidRPr="00C21FFE" w:rsidR="00F31FAF" w:rsidRDefault="00356547">
      <w:pPr>
        <w:rPr/>
      </w:pPr>
      <w:r w:rsidRPr="&lt;w:rPr xmlns:w=&quot;http://schemas.openxmlformats.org/wordprocessingml/2006/main&quot;&gt;&lt;w:lang w:val=&quot;es-ES_tradnl&quot; /&gt;&lt;/w:rPr&gt;">
        <w:rPr/>
        <w:t xml:space="preserve">Es jurisprudencia ya reiterada de este Tribunal, iniciada en la STC 167/2002, de 18 de septiembre (FFJJ 9 a 11) y seguida en numerosas Sentencias posteriores (entre las últimas, SSTC 192/2004, de 2 de noviembre; o 200/2004, de 15 de noviembre),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las actuaciones evidencian que la única actividad probatoria desarrollada en la vista del juicio de faltas fueron pruebas de carácter personal (declaraciones de la denunciante y del denunciado y de un testigo); que la Sentencia del Juzgado de Instrucción absolvió al recurrente, conforme al principio de presunción de inocencia, al considerar que los hechos denunciados no habían quedado acreditados por los diversos testimonios vertidos en la vista del juicio de faltas; que el Ministerio Fiscal recurrió dicha absolución con fundamento exclusivo en errónea valoración de las pruebas personales practicadas; y, por último, que en la Sentencia de apelación, sin celebración de vista ni práctica de prueba en la segunda instancia, se condenó al recurrente como autor de sendas faltas de maltrato de obra y amenazas, modificando el relato de hechos probados, basándose sólo en el examen de los testimonios prestados en la primera instancia reflejados en el acta del juicio de faltas.</w:t>
      </w:r>
    </w:p>
    <w:p w:rsidRPr="00C21FFE" w:rsidR="00F31FAF" w:rsidRDefault="00356547">
      <w:pPr>
        <w:rPr/>
      </w:pPr>
      <w:r w:rsidRPr="&lt;w:rPr xmlns:w=&quot;http://schemas.openxmlformats.org/wordprocessingml/2006/main&quot;&gt;&lt;w:lang w:val=&quot;es-ES_tradnl&quot; /&gt;&lt;/w:rPr&gt;">
        <w:rPr/>
        <w:t xml:space="preserve">Por tanto, toda vez que es manifiesto que el órgano judicial de apelación fundamentó la condena en una nueva valoración de las pruebas testificales con infracción de los principios de inmediación y contradicción y que las únicas pruebas de cargo eran los mencionados testimonios, debe otorgarse el amparo por vulneración de los derechos a un proceso con todas las garantías y a la presunción de inocencia, cuyo restablecimiento determina la anulación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Pablo Muriel Urdinguio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al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Decimoséptima de la Audiencia Provincial de Madrid de 5 de diciembre de 2001, recaída en el rollo de apelación 379-2001.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