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4144-2003, promovido por el Letrado don Luis Miguel Pérez Espadas en interés de don Sadio Traore, al que por turno de justicia gratuita se le designó a la Procuradora de los Tribunales doña Sonia López Caballero, contra el Auto de 12 de junio de 2003 del Juzgado de Instrucción núm. 1 de Puerto del Rosario, que inadmitió a trámite la solicitud de habeas corpus presentada.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Sadio Traore,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Sadio Traore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Sadio Traore,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 de julio de 2003 de la Sección Segunda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9 de julio de 2003, en la que asimismo se acordaba conceder a la Procuradora doña Sonia López Caballero, de conformidad con el art. 50.5 LOTC, un plazo de diez días para que acreditase con su firma la asunción de la representación del recurrente en la demanda presentada por el Letrado don Luis Miguel Pérez Espadas, lo que hizo el 18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29 de diciembre de 2004, remitiéndose a su recurso de amparo, reiteró su petición de estimación del mismo. Por escrito registrado el 19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24-2003; asimismo, se acordó recabar de la Comisaría de Policía Nacional de Puerto del Rosario copia de todas las actuaciones practicadas respecto del demandante que fue detenido por agentes de esa Comisaría el 10 de junio de 2003, (diligencias policiales núm. 1475- 2003).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Sadio Traore,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la citada STC 169/2006, lo trascendente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Sadio Traore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24-2003.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4144-2003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que, creo he plasmado fielmente en la resolución de la que he sido Ponente, por medio de este Voto particular quiero expresar mi discrepancia con dicha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